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1CD8" w14:textId="77777777" w:rsidR="00DE2222" w:rsidRDefault="00DE2222" w:rsidP="00DE2222">
      <w:pPr>
        <w:spacing w:line="560" w:lineRule="exact"/>
        <w:ind w:firstLineChars="300" w:firstLine="1320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14:paraId="6B7D6691" w14:textId="77777777" w:rsidR="00EA34D9" w:rsidRPr="00DE2222" w:rsidRDefault="00420138" w:rsidP="00DE2222">
      <w:pPr>
        <w:spacing w:line="560" w:lineRule="exact"/>
        <w:ind w:firstLineChars="300" w:firstLine="1320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关于</w:t>
      </w:r>
      <w:r w:rsidR="006E6B05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优化</w:t>
      </w:r>
      <w:r w:rsidR="00F11D5D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我市</w:t>
      </w:r>
      <w:r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工程建设领域</w:t>
      </w:r>
    </w:p>
    <w:p w14:paraId="358F04F7" w14:textId="40DD18F8" w:rsidR="00EF6229" w:rsidRPr="00DE2222" w:rsidRDefault="00420138" w:rsidP="00DE2222">
      <w:pPr>
        <w:spacing w:line="560" w:lineRule="exact"/>
        <w:ind w:firstLineChars="300" w:firstLine="1320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工资</w:t>
      </w:r>
      <w:r w:rsidR="006E6B05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保</w:t>
      </w:r>
      <w:r w:rsidR="00EA34D9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证</w:t>
      </w:r>
      <w:r w:rsidR="00EF6229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金</w:t>
      </w:r>
      <w:r w:rsidR="00E94DCC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减免</w:t>
      </w:r>
      <w:r w:rsidR="00802A9C" w:rsidRPr="00DE222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手续</w:t>
      </w:r>
      <w:r w:rsidR="002C34C2" w:rsidRPr="00DE2222">
        <w:rPr>
          <w:rFonts w:ascii="Times New Roman" w:eastAsia="方正小标宋简体" w:hAnsi="Times New Roman"/>
          <w:color w:val="000000" w:themeColor="text1"/>
          <w:sz w:val="44"/>
          <w:szCs w:val="44"/>
        </w:rPr>
        <w:t>的通知</w:t>
      </w:r>
    </w:p>
    <w:p w14:paraId="2B18120A" w14:textId="6E8FF8C8" w:rsidR="002C34C2" w:rsidRPr="00DE2222" w:rsidRDefault="00DE2222" w:rsidP="00DE2222">
      <w:pPr>
        <w:spacing w:line="560" w:lineRule="exact"/>
        <w:jc w:val="center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（征求意见稿）</w:t>
      </w:r>
    </w:p>
    <w:p w14:paraId="4B299400" w14:textId="77777777" w:rsidR="00DE2222" w:rsidRPr="00DE2222" w:rsidRDefault="00DE2222" w:rsidP="00DE2222">
      <w:pPr>
        <w:spacing w:line="560" w:lineRule="exact"/>
        <w:jc w:val="center"/>
        <w:rPr>
          <w:rFonts w:ascii="Times New Roman" w:eastAsia="楷体_GB2312" w:hAnsi="Times New Roman" w:hint="eastAsia"/>
          <w:color w:val="000000" w:themeColor="text1"/>
          <w:sz w:val="32"/>
          <w:szCs w:val="32"/>
        </w:rPr>
      </w:pPr>
    </w:p>
    <w:p w14:paraId="4A0C3F75" w14:textId="768BB6EF" w:rsidR="005D708A" w:rsidRPr="00DE2222" w:rsidRDefault="002C34C2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各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县级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市（区）</w:t>
      </w:r>
      <w:r w:rsidR="00D80DB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人力资源</w:t>
      </w:r>
      <w:bookmarkStart w:id="0" w:name="_GoBack"/>
      <w:bookmarkEnd w:id="0"/>
      <w:r w:rsidR="00D80DB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社会保障局</w:t>
      </w:r>
      <w:r w:rsidR="00E94DCC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 w:rsidR="00D80DB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住房</w:t>
      </w:r>
      <w:r w:rsidR="00D80DB2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和城乡建设局</w:t>
      </w:r>
      <w:r w:rsidR="00E94DCC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、交通</w:t>
      </w:r>
      <w:r w:rsidR="00A9294A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运输</w:t>
      </w:r>
      <w:r w:rsidR="00E94DCC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局</w:t>
      </w:r>
      <w:r w:rsidR="00D80DB2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（铁路办）</w:t>
      </w:r>
      <w:r w:rsidR="00E94DCC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、水务局</w:t>
      </w:r>
      <w:r w:rsidR="00D80DB2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、行政审批局，苏州工业园区规划建设委员会、生态环境局，苏州高新区（虎丘区）城乡发展局，太仓港管委会交通管理部门，各银行业金融机构，各保险公司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</w:p>
    <w:p w14:paraId="5578C5CD" w14:textId="43B5F1D1" w:rsidR="002C34C2" w:rsidRPr="00DE2222" w:rsidRDefault="00950F66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</w:t>
      </w:r>
      <w:r w:rsidR="004F2B1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进一步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营造良好</w:t>
      </w:r>
      <w:r w:rsidR="00E94DCC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营商环境</w:t>
      </w:r>
      <w:r w:rsidR="005D708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9036F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切实减轻企业负担，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根据《江苏省工程建设领域农民工工资保证金管理办法》、《苏州市工程建设领域农民工工资保证金管理实施细则》（以下简称《细则》）有关规定，</w:t>
      </w:r>
      <w:r w:rsidR="005D708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现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就优化</w:t>
      </w:r>
      <w:r w:rsidR="005D708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我市</w:t>
      </w:r>
      <w:r w:rsidR="00E94DCC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工程建设领域工资保证金</w:t>
      </w:r>
      <w:r w:rsidR="00802A9C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减免手续</w:t>
      </w:r>
      <w:r w:rsidR="0039092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通知如下</w:t>
      </w:r>
      <w:r w:rsidR="00B9177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3D99528D" w14:textId="54A07A1E" w:rsidR="00DE13D7" w:rsidRPr="00DE2222" w:rsidRDefault="009B1CA9" w:rsidP="00DE2222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</w:t>
      </w:r>
      <w:r w:rsidR="0090467D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、</w:t>
      </w:r>
      <w:r w:rsidR="00831785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工资保证金减免</w:t>
      </w:r>
      <w:r w:rsidR="00787DD0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企业</w:t>
      </w:r>
      <w:r w:rsidR="00601DE5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的</w:t>
      </w:r>
      <w:r w:rsidR="00D24FF1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核</w:t>
      </w:r>
      <w:r w:rsidR="007E7892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定</w:t>
      </w:r>
    </w:p>
    <w:p w14:paraId="070CC226" w14:textId="4B5B7E6B" w:rsidR="00583F2B" w:rsidRPr="00DE2222" w:rsidRDefault="007E7892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市</w:t>
      </w:r>
      <w:proofErr w:type="gramStart"/>
      <w:r w:rsidR="00A32F7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人社局</w:t>
      </w:r>
      <w:proofErr w:type="gramEnd"/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根据</w:t>
      </w:r>
      <w:r w:rsidR="004306AC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市住建局、市交通运输局等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行业主管部门每年对施工企业综合考评</w:t>
      </w:r>
      <w:r w:rsidR="00B8530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结果</w:t>
      </w:r>
      <w:r w:rsidR="004306AC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及</w:t>
      </w:r>
      <w:proofErr w:type="gramStart"/>
      <w:r w:rsidR="00A9294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各级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人社部门</w:t>
      </w:r>
      <w:proofErr w:type="gramEnd"/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欠薪违法行为</w:t>
      </w:r>
      <w:r w:rsidR="00B8530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</w:t>
      </w:r>
      <w:r w:rsidR="00D24FF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查处情况，综合核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定工资保证金减免企业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名单</w:t>
      </w:r>
      <w:r w:rsidR="00583F2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40C79A8C" w14:textId="7405653E" w:rsidR="00703B71" w:rsidRPr="00DE2222" w:rsidRDefault="00F753B4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.</w:t>
      </w:r>
      <w:r w:rsidR="00703B71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工资保证金免交企业应同时</w:t>
      </w:r>
      <w:r w:rsidR="00583F2B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满足</w:t>
      </w:r>
      <w:r w:rsidR="00703B71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以下条件：</w:t>
      </w:r>
      <w:r w:rsidR="00910BB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连续三年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省级认定的公路水运建设</w:t>
      </w:r>
      <w:r w:rsidR="0085010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市场信用评价等级</w:t>
      </w:r>
      <w:r w:rsidR="0085010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AA</w:t>
      </w:r>
      <w:r w:rsidR="0085010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企业</w:t>
      </w:r>
      <w:bookmarkStart w:id="1" w:name="_Hlk155208135"/>
      <w:r w:rsidR="00947F7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，连续三年苏州市建筑施工企业综合考评</w:t>
      </w:r>
      <w:bookmarkEnd w:id="1"/>
      <w:r w:rsidR="0000411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</w:t>
      </w:r>
      <w:r w:rsidR="0000411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类</w:t>
      </w:r>
      <w:r w:rsidR="00583F2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企业</w:t>
      </w:r>
      <w:r w:rsidR="00947F7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连续三年</w:t>
      </w:r>
      <w:r w:rsidR="002C782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在</w:t>
      </w:r>
      <w:r w:rsidR="00910BB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全市范围</w:t>
      </w:r>
      <w:r w:rsidR="002C7822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内</w:t>
      </w:r>
      <w:r w:rsidR="002C782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有</w:t>
      </w:r>
      <w:r w:rsidR="007C729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承建</w:t>
      </w:r>
      <w:r w:rsidR="002C7822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项目</w:t>
      </w:r>
      <w:r w:rsidR="002C782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且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无拖欠农民工工资不良记录</w:t>
      </w:r>
      <w:r w:rsidR="005858A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5BF7765D" w14:textId="418B7BF1" w:rsidR="00583F2B" w:rsidRPr="00DE2222" w:rsidRDefault="00703B71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被核定为工资保证金免交企业的，</w:t>
      </w:r>
      <w:r w:rsidR="0073257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自</w:t>
      </w:r>
      <w:r w:rsidR="00D24FF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核定</w:t>
      </w:r>
      <w:r w:rsidR="0073257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之日起一年</w:t>
      </w:r>
      <w:r w:rsidR="00AB286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内</w:t>
      </w:r>
      <w:r w:rsidR="00D91C0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其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新建项目</w:t>
      </w:r>
      <w:r w:rsidR="0000411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工资保证金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可享受免缴政策。</w:t>
      </w:r>
    </w:p>
    <w:p w14:paraId="35B26C8B" w14:textId="27AE87B8" w:rsidR="00703B71" w:rsidRPr="00DE2222" w:rsidRDefault="00F753B4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.</w:t>
      </w:r>
      <w:r w:rsidR="00703B71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工资保证金减交企业应同时满足以下条件：</w:t>
      </w:r>
      <w:r w:rsidR="00697B0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连续两年省级认定的公路水运建设市场信用评价等级</w:t>
      </w:r>
      <w:r w:rsidR="00697B0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AA</w:t>
      </w:r>
      <w:r w:rsidR="00697B0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企业</w:t>
      </w:r>
      <w:r w:rsidR="00947F7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00411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连续两年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苏州市建筑施工企业综合考评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类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企业</w:t>
      </w:r>
      <w:r w:rsidR="00947F7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C402F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连续两年在全市范围内有</w:t>
      </w:r>
      <w:r w:rsidR="007C729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承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建项目且无拖欠农民工工资不良记录。</w:t>
      </w:r>
    </w:p>
    <w:p w14:paraId="5A1DB5F3" w14:textId="10CF4CD9" w:rsidR="00DE13D7" w:rsidRPr="00DE2222" w:rsidRDefault="00703B71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被核定为</w:t>
      </w:r>
      <w:r w:rsidR="00DA56B5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工资保证金</w:t>
      </w:r>
      <w:r w:rsidR="00601DE5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减交企业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的，</w:t>
      </w:r>
      <w:r w:rsidR="00D24FF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自核</w:t>
      </w:r>
      <w:r w:rsidR="00D91C0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定之日起一年内，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其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新建项目</w:t>
      </w:r>
      <w:r w:rsidR="0000411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工资保证金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可按</w:t>
      </w:r>
      <w:r w:rsidR="0000411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施工合同额的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="00DE13D7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.5%</w:t>
      </w:r>
      <w:r w:rsidR="00DE13D7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缴存。</w:t>
      </w:r>
    </w:p>
    <w:p w14:paraId="3763D9F3" w14:textId="516D45F4" w:rsidR="00EC2E70" w:rsidRPr="00DE2222" w:rsidRDefault="00703B71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3.</w:t>
      </w:r>
      <w:r w:rsidR="00F753B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上述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工资保证金减免企业，</w:t>
      </w:r>
      <w:r w:rsidR="00EC2E7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自</w:t>
      </w:r>
      <w:r w:rsidR="00D24FF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核定</w:t>
      </w:r>
      <w:r w:rsidR="00EC2E7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之日起一年内，</w:t>
      </w:r>
      <w:r w:rsidR="00631F0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一旦被列入</w:t>
      </w:r>
      <w:bookmarkStart w:id="2" w:name="_Hlk155211844"/>
      <w:r w:rsidR="00631F0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拖欠农民工工资不良记录名单</w:t>
      </w:r>
      <w:bookmarkEnd w:id="2"/>
      <w:r w:rsidR="00631F0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的，自不良记录发生之日起</w:t>
      </w:r>
      <w:r w:rsidR="00FA133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A860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不再享受</w:t>
      </w:r>
      <w:r w:rsidR="00FB74A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减免</w:t>
      </w:r>
      <w:r w:rsidR="00A860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政策</w:t>
      </w:r>
      <w:r w:rsidR="00EC2E7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，需按《细则》规定正常办理工资保证金核定缴存</w:t>
      </w:r>
      <w:r w:rsidR="00B61DE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FB74A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市</w:t>
      </w:r>
      <w:proofErr w:type="gramStart"/>
      <w:r w:rsidR="00FB74A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人社局</w:t>
      </w:r>
      <w:proofErr w:type="gramEnd"/>
      <w:r w:rsidR="00FB74A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每月更新全市</w:t>
      </w:r>
      <w:r w:rsidR="005D1379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拖欠农民工工资不良记录</w:t>
      </w:r>
      <w:r w:rsidR="005535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建筑业企业名单。</w:t>
      </w:r>
      <w:r w:rsidR="00F753B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县级市（区）</w:t>
      </w:r>
      <w:proofErr w:type="gramStart"/>
      <w:r w:rsidR="008C0DF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人社部门</w:t>
      </w:r>
      <w:proofErr w:type="gramEnd"/>
      <w:r w:rsidR="008C0DF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根据《细则》规定和工作需要，可参照上述标准</w:t>
      </w:r>
      <w:r w:rsidR="00D24FF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核定</w:t>
      </w:r>
      <w:r w:rsidR="008C0DF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辖区内工资保证金减免企业。</w:t>
      </w:r>
    </w:p>
    <w:p w14:paraId="0E2B9101" w14:textId="5C1374F7" w:rsidR="00F908BB" w:rsidRPr="00DE2222" w:rsidRDefault="00B61DEA" w:rsidP="00DE2222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二、</w:t>
      </w:r>
      <w:r w:rsidR="00831785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优化工资保证金</w:t>
      </w:r>
      <w:r w:rsidR="009036F6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办理</w:t>
      </w:r>
      <w:r w:rsidR="00831785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程序</w:t>
      </w:r>
    </w:p>
    <w:p w14:paraId="086144D7" w14:textId="6D9967F2" w:rsidR="003C7B3A" w:rsidRPr="00DE2222" w:rsidRDefault="00787DD0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被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列入工资保证金减免</w:t>
      </w:r>
      <w:r w:rsidR="005535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企业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名单的</w:t>
      </w:r>
      <w:r w:rsidR="0068117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5535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自</w:t>
      </w:r>
      <w:r w:rsidR="00703B71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核定</w:t>
      </w:r>
      <w:r w:rsidR="005535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之日起一年内，</w:t>
      </w:r>
      <w:r w:rsidR="0068117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其新建项目工资保证金</w:t>
      </w:r>
      <w:proofErr w:type="gramStart"/>
      <w:r w:rsidR="0068117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免申即</w:t>
      </w:r>
      <w:proofErr w:type="gramEnd"/>
      <w:r w:rsidR="0068117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享。</w:t>
      </w:r>
      <w:r w:rsidR="00831785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各</w:t>
      </w:r>
      <w:r w:rsidR="00831785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县级</w:t>
      </w:r>
      <w:r w:rsidR="00831785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市（区）</w:t>
      </w:r>
      <w:proofErr w:type="gramStart"/>
      <w:r w:rsidR="00831785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人社部门</w:t>
      </w:r>
      <w:proofErr w:type="gramEnd"/>
      <w:r w:rsidR="009036F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要</w:t>
      </w:r>
      <w:r w:rsidR="0068117A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主动给予</w:t>
      </w:r>
      <w:r w:rsidR="00CA56B5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该企业</w:t>
      </w:r>
      <w:r w:rsidR="00F753B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辖区内</w:t>
      </w:r>
      <w:r w:rsidR="00BE4C6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</w:t>
      </w:r>
      <w:r w:rsidR="0016297F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新建项目</w:t>
      </w:r>
      <w:r w:rsidR="00CA56B5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免除</w:t>
      </w:r>
      <w:r w:rsidR="005535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减免</w:t>
      </w:r>
      <w:r w:rsidR="006B797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申报手续，简化核定流程</w:t>
      </w:r>
      <w:r w:rsidR="005535C8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49166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未被列入工资保证金减免企业名单的，其新建项目</w:t>
      </w:r>
      <w:r w:rsidR="0026517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符合《细则》规定</w:t>
      </w:r>
      <w:r w:rsidR="0049166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减免</w:t>
      </w:r>
      <w:r w:rsidR="0026517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政策</w:t>
      </w:r>
      <w:r w:rsidR="0049166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的，按正常</w:t>
      </w:r>
      <w:r w:rsidR="00265174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流程</w:t>
      </w:r>
      <w:r w:rsidR="00491666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办理核定减免手续。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总包单位在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同一</w:t>
      </w:r>
      <w:r w:rsidR="00CA07F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保证金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管理</w:t>
      </w:r>
      <w:r w:rsidR="00CA07F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市（区）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有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个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及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以上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工程建设项目的，推行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“企业基本专用账户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+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项目子账户”模式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，按项目分别</w:t>
      </w:r>
      <w:r w:rsidR="00EB5CED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管理。</w:t>
      </w:r>
    </w:p>
    <w:p w14:paraId="268AA460" w14:textId="055C6061" w:rsidR="009036F6" w:rsidRPr="00DE2222" w:rsidRDefault="0075379E" w:rsidP="00DE2222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黑体" w:hAnsi="Times New Roman"/>
          <w:color w:val="000000" w:themeColor="text1"/>
          <w:sz w:val="32"/>
          <w:szCs w:val="32"/>
        </w:rPr>
        <w:t>三、</w:t>
      </w:r>
      <w:r w:rsidR="009036F6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着</w:t>
      </w:r>
      <w:r w:rsidR="009036F6" w:rsidRPr="00DE2222">
        <w:rPr>
          <w:rFonts w:ascii="Times New Roman" w:eastAsia="黑体" w:hAnsi="Times New Roman"/>
          <w:color w:val="000000" w:themeColor="text1"/>
          <w:sz w:val="32"/>
          <w:szCs w:val="32"/>
        </w:rPr>
        <w:t>力</w:t>
      </w:r>
      <w:r w:rsidR="009036F6" w:rsidRPr="00DE2222">
        <w:rPr>
          <w:rFonts w:ascii="Times New Roman" w:eastAsia="黑体" w:hAnsi="Times New Roman" w:hint="eastAsia"/>
          <w:color w:val="000000" w:themeColor="text1"/>
          <w:sz w:val="32"/>
          <w:szCs w:val="32"/>
        </w:rPr>
        <w:t>推行工资保证金保函（保险）制度</w:t>
      </w:r>
    </w:p>
    <w:p w14:paraId="4F118E44" w14:textId="4DF49D9D" w:rsidR="00514928" w:rsidRPr="00DE2222" w:rsidRDefault="00514928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加快推行工资保证金银行保函、工程保证保险替代现金方式，</w:t>
      </w:r>
      <w:r w:rsidR="00615759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鼓励金融机构实行差别化管理，</w:t>
      </w:r>
      <w:r w:rsidR="0095243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积极为</w:t>
      </w:r>
      <w:r w:rsidR="00615759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工资保证金减</w:t>
      </w:r>
      <w:r w:rsidR="00BA64DB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交</w:t>
      </w:r>
      <w:r w:rsidR="00615759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企业</w:t>
      </w:r>
      <w:r w:rsidR="00F829A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提供优质高效的</w:t>
      </w:r>
      <w:r w:rsidR="0095243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保函（保险）业务服务</w:t>
      </w:r>
      <w:r w:rsidR="00F829A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和</w:t>
      </w:r>
      <w:r w:rsidR="003C7049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费用优惠等</w:t>
      </w:r>
      <w:r w:rsidR="0095243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1342C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减轻企业负担</w:t>
      </w:r>
      <w:r w:rsidR="00615759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F829A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促进企业健康发展</w:t>
      </w:r>
      <w:r w:rsidR="00952433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3D2A8801" w14:textId="410920B6" w:rsidR="00AF30CB" w:rsidRPr="00DE2222" w:rsidRDefault="00AF30CB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本通知自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02</w:t>
      </w:r>
      <w:r w:rsidR="005B705F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日起施行。</w:t>
      </w:r>
    </w:p>
    <w:p w14:paraId="20F74854" w14:textId="77777777" w:rsidR="00EB5CED" w:rsidRPr="00DE2222" w:rsidRDefault="00EB5CED" w:rsidP="00DE222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4ED44F1C" w14:textId="77777777" w:rsidR="004C2208" w:rsidRPr="00DE2222" w:rsidRDefault="004C2208" w:rsidP="00DE22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14:paraId="0E58ED41" w14:textId="77777777" w:rsidR="004C2208" w:rsidRPr="00DE2222" w:rsidRDefault="004C2208" w:rsidP="00DE222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14:paraId="151FB25F" w14:textId="77777777" w:rsidR="00DE2222" w:rsidRPr="00DE2222" w:rsidRDefault="00A54577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苏州市人力资源和社会保障局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苏州市住房和城乡建设局</w:t>
      </w:r>
    </w:p>
    <w:p w14:paraId="40F58BB9" w14:textId="77777777" w:rsidR="00DE2222" w:rsidRPr="00DE2222" w:rsidRDefault="00DE2222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6E66FF4D" w14:textId="77777777" w:rsidR="00DE2222" w:rsidRPr="00DE2222" w:rsidRDefault="00DE2222" w:rsidP="00DE2222">
      <w:pPr>
        <w:spacing w:line="560" w:lineRule="exac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14:paraId="4C214739" w14:textId="7C0AAF57" w:rsidR="00A54577" w:rsidRPr="00DE2222" w:rsidRDefault="00A54577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苏州市交通运输局（铁路办）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苏州市水务局</w:t>
      </w:r>
    </w:p>
    <w:p w14:paraId="26FE206F" w14:textId="77777777" w:rsidR="00DE2222" w:rsidRPr="00DE2222" w:rsidRDefault="00DE2222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7E2F0F32" w14:textId="77777777" w:rsidR="00DE2222" w:rsidRPr="00DE2222" w:rsidRDefault="00DE2222" w:rsidP="00DE2222">
      <w:pPr>
        <w:spacing w:line="560" w:lineRule="exac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14:paraId="260D892B" w14:textId="4D24ADB9" w:rsidR="00F829A0" w:rsidRPr="00DE2222" w:rsidRDefault="00F829A0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苏州市</w:t>
      </w:r>
      <w:r w:rsidR="00D80DB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行政</w:t>
      </w:r>
      <w:r w:rsidR="00D80DB2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审批局</w:t>
      </w:r>
      <w:r w:rsidR="00D80DB2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DE05A0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="00DE05A0"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国家</w:t>
      </w:r>
      <w:r w:rsidR="00DE05A0"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金融监督管理总局苏州监管分局</w:t>
      </w:r>
    </w:p>
    <w:p w14:paraId="4B78E12F" w14:textId="77777777" w:rsidR="00A54577" w:rsidRPr="00DE2222" w:rsidRDefault="00A54577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71B203DA" w14:textId="29AF771A" w:rsidR="00A54577" w:rsidRPr="00DE2222" w:rsidRDefault="00A54577" w:rsidP="00DE2222">
      <w:pPr>
        <w:spacing w:line="560" w:lineRule="exact"/>
        <w:ind w:firstLineChars="1650" w:firstLine="52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Pr="00DE222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</w:p>
    <w:p w14:paraId="737444A4" w14:textId="33B63F95" w:rsidR="00A54577" w:rsidRPr="00DE2222" w:rsidRDefault="00A54577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E22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</w:t>
      </w:r>
    </w:p>
    <w:p w14:paraId="66334845" w14:textId="7B147824" w:rsidR="00A54577" w:rsidRPr="00DE2222" w:rsidRDefault="00A54577" w:rsidP="00DE222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sectPr w:rsidR="00A54577" w:rsidRPr="00DE2222" w:rsidSect="00420138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2C28" w14:textId="77777777" w:rsidR="002B0F25" w:rsidRDefault="002B0F25" w:rsidP="00420138">
      <w:r>
        <w:separator/>
      </w:r>
    </w:p>
  </w:endnote>
  <w:endnote w:type="continuationSeparator" w:id="0">
    <w:p w14:paraId="23B04E4E" w14:textId="77777777" w:rsidR="002B0F25" w:rsidRDefault="002B0F25" w:rsidP="0042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961856"/>
      <w:docPartObj>
        <w:docPartGallery w:val="Page Numbers (Bottom of Page)"/>
        <w:docPartUnique/>
      </w:docPartObj>
    </w:sdtPr>
    <w:sdtEndPr/>
    <w:sdtContent>
      <w:p w14:paraId="2CA6221B" w14:textId="023F7E1B" w:rsidR="00420138" w:rsidRDefault="00420138">
        <w:pPr>
          <w:pStyle w:val="a5"/>
          <w:jc w:val="center"/>
        </w:pPr>
        <w:r w:rsidRPr="0042013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42013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42013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DE2222" w:rsidRPr="00DE2222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DE2222">
          <w:rPr>
            <w:rFonts w:ascii="仿宋_GB2312" w:eastAsia="仿宋_GB2312"/>
            <w:noProof/>
            <w:sz w:val="32"/>
            <w:szCs w:val="32"/>
          </w:rPr>
          <w:t xml:space="preserve"> 3 -</w:t>
        </w:r>
        <w:r w:rsidRPr="0042013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74C3AFC4" w14:textId="77777777" w:rsidR="00420138" w:rsidRDefault="00420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B4CFD" w14:textId="77777777" w:rsidR="002B0F25" w:rsidRDefault="002B0F25" w:rsidP="00420138">
      <w:r>
        <w:separator/>
      </w:r>
    </w:p>
  </w:footnote>
  <w:footnote w:type="continuationSeparator" w:id="0">
    <w:p w14:paraId="66EDE379" w14:textId="77777777" w:rsidR="002B0F25" w:rsidRDefault="002B0F25" w:rsidP="0042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EA"/>
    <w:rsid w:val="00004117"/>
    <w:rsid w:val="0002162B"/>
    <w:rsid w:val="000442CF"/>
    <w:rsid w:val="00047081"/>
    <w:rsid w:val="00047B6C"/>
    <w:rsid w:val="00073D9F"/>
    <w:rsid w:val="00074450"/>
    <w:rsid w:val="0007768B"/>
    <w:rsid w:val="000818CC"/>
    <w:rsid w:val="00081FCA"/>
    <w:rsid w:val="0009438A"/>
    <w:rsid w:val="000C395C"/>
    <w:rsid w:val="000E54CC"/>
    <w:rsid w:val="00111FF3"/>
    <w:rsid w:val="001342C2"/>
    <w:rsid w:val="001409A6"/>
    <w:rsid w:val="00147CC9"/>
    <w:rsid w:val="00157235"/>
    <w:rsid w:val="0016297F"/>
    <w:rsid w:val="001648D8"/>
    <w:rsid w:val="00190BED"/>
    <w:rsid w:val="001B2086"/>
    <w:rsid w:val="001C3123"/>
    <w:rsid w:val="001D00F6"/>
    <w:rsid w:val="001D3941"/>
    <w:rsid w:val="00265174"/>
    <w:rsid w:val="002B0F25"/>
    <w:rsid w:val="002C34C2"/>
    <w:rsid w:val="002C7822"/>
    <w:rsid w:val="00321022"/>
    <w:rsid w:val="003716C5"/>
    <w:rsid w:val="00390920"/>
    <w:rsid w:val="003C7049"/>
    <w:rsid w:val="003C7B3A"/>
    <w:rsid w:val="003E74CC"/>
    <w:rsid w:val="003F21E6"/>
    <w:rsid w:val="004052F4"/>
    <w:rsid w:val="00420138"/>
    <w:rsid w:val="004279B9"/>
    <w:rsid w:val="004306AC"/>
    <w:rsid w:val="00431539"/>
    <w:rsid w:val="0046646E"/>
    <w:rsid w:val="00491666"/>
    <w:rsid w:val="00496EF5"/>
    <w:rsid w:val="004C2208"/>
    <w:rsid w:val="004F2B1F"/>
    <w:rsid w:val="00501F76"/>
    <w:rsid w:val="00512D02"/>
    <w:rsid w:val="00514928"/>
    <w:rsid w:val="0051790A"/>
    <w:rsid w:val="0053612D"/>
    <w:rsid w:val="005535C8"/>
    <w:rsid w:val="00583F2B"/>
    <w:rsid w:val="005851C0"/>
    <w:rsid w:val="005858A4"/>
    <w:rsid w:val="005B705F"/>
    <w:rsid w:val="005D1379"/>
    <w:rsid w:val="005D708A"/>
    <w:rsid w:val="00601DE5"/>
    <w:rsid w:val="00615759"/>
    <w:rsid w:val="0062515B"/>
    <w:rsid w:val="00631F03"/>
    <w:rsid w:val="006454F6"/>
    <w:rsid w:val="00655798"/>
    <w:rsid w:val="0068117A"/>
    <w:rsid w:val="0068187F"/>
    <w:rsid w:val="00697B0B"/>
    <w:rsid w:val="006B7972"/>
    <w:rsid w:val="006C49A7"/>
    <w:rsid w:val="006E6B05"/>
    <w:rsid w:val="00703B71"/>
    <w:rsid w:val="0073257B"/>
    <w:rsid w:val="00735A4E"/>
    <w:rsid w:val="0075379E"/>
    <w:rsid w:val="00787DD0"/>
    <w:rsid w:val="007C729D"/>
    <w:rsid w:val="007E7892"/>
    <w:rsid w:val="00802A9C"/>
    <w:rsid w:val="00831785"/>
    <w:rsid w:val="008425C1"/>
    <w:rsid w:val="00850103"/>
    <w:rsid w:val="00867E09"/>
    <w:rsid w:val="008B4A64"/>
    <w:rsid w:val="008C0DFB"/>
    <w:rsid w:val="008C6108"/>
    <w:rsid w:val="008D66DD"/>
    <w:rsid w:val="008E6B01"/>
    <w:rsid w:val="009036F6"/>
    <w:rsid w:val="0090467D"/>
    <w:rsid w:val="00910BBB"/>
    <w:rsid w:val="00947F7F"/>
    <w:rsid w:val="00950F66"/>
    <w:rsid w:val="00952433"/>
    <w:rsid w:val="009753B9"/>
    <w:rsid w:val="009769A1"/>
    <w:rsid w:val="009954B0"/>
    <w:rsid w:val="009B17AF"/>
    <w:rsid w:val="009B1CA9"/>
    <w:rsid w:val="009D280F"/>
    <w:rsid w:val="00A0654F"/>
    <w:rsid w:val="00A32F72"/>
    <w:rsid w:val="00A35C54"/>
    <w:rsid w:val="00A54577"/>
    <w:rsid w:val="00A54923"/>
    <w:rsid w:val="00A860C8"/>
    <w:rsid w:val="00A9294A"/>
    <w:rsid w:val="00AB2861"/>
    <w:rsid w:val="00AF30CB"/>
    <w:rsid w:val="00B61DEA"/>
    <w:rsid w:val="00B6213F"/>
    <w:rsid w:val="00B8530A"/>
    <w:rsid w:val="00B91776"/>
    <w:rsid w:val="00BA64DB"/>
    <w:rsid w:val="00BE4C6F"/>
    <w:rsid w:val="00C0324F"/>
    <w:rsid w:val="00C402F0"/>
    <w:rsid w:val="00C74A14"/>
    <w:rsid w:val="00C8625B"/>
    <w:rsid w:val="00CA07F2"/>
    <w:rsid w:val="00CA56B5"/>
    <w:rsid w:val="00CC45D2"/>
    <w:rsid w:val="00CE40E9"/>
    <w:rsid w:val="00D24FF1"/>
    <w:rsid w:val="00D34BF5"/>
    <w:rsid w:val="00D4477C"/>
    <w:rsid w:val="00D500AC"/>
    <w:rsid w:val="00D51A6F"/>
    <w:rsid w:val="00D80DB2"/>
    <w:rsid w:val="00D91C0F"/>
    <w:rsid w:val="00DA56B5"/>
    <w:rsid w:val="00DB056C"/>
    <w:rsid w:val="00DE05A0"/>
    <w:rsid w:val="00DE13D7"/>
    <w:rsid w:val="00DE2222"/>
    <w:rsid w:val="00E25EF6"/>
    <w:rsid w:val="00E52CEA"/>
    <w:rsid w:val="00E81619"/>
    <w:rsid w:val="00E86919"/>
    <w:rsid w:val="00E94DCC"/>
    <w:rsid w:val="00EA34D9"/>
    <w:rsid w:val="00EA7AAC"/>
    <w:rsid w:val="00EB12FF"/>
    <w:rsid w:val="00EB5CED"/>
    <w:rsid w:val="00EC2E70"/>
    <w:rsid w:val="00EC63E8"/>
    <w:rsid w:val="00EF6229"/>
    <w:rsid w:val="00F0596F"/>
    <w:rsid w:val="00F11D5D"/>
    <w:rsid w:val="00F232DC"/>
    <w:rsid w:val="00F536D1"/>
    <w:rsid w:val="00F668D4"/>
    <w:rsid w:val="00F73C1F"/>
    <w:rsid w:val="00F753B4"/>
    <w:rsid w:val="00F829A0"/>
    <w:rsid w:val="00F82E96"/>
    <w:rsid w:val="00F908BB"/>
    <w:rsid w:val="00FA1338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86F0"/>
  <w15:chartTrackingRefBased/>
  <w15:docId w15:val="{D57A5216-26D6-441E-902B-1909888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01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范顺姬</dc:creator>
  <cp:keywords/>
  <dc:description/>
  <cp:lastModifiedBy>u</cp:lastModifiedBy>
  <cp:revision>79</cp:revision>
  <dcterms:created xsi:type="dcterms:W3CDTF">2024-01-03T07:15:00Z</dcterms:created>
  <dcterms:modified xsi:type="dcterms:W3CDTF">2024-03-15T05:29:00Z</dcterms:modified>
</cp:coreProperties>
</file>