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ascii="黑体" w:hAnsi="黑体" w:eastAsia="黑体"/>
          <w:sz w:val="32"/>
          <w:szCs w:val="32"/>
        </w:rPr>
        <w:t>附件1</w:t>
      </w:r>
    </w:p>
    <w:p>
      <w:pPr>
        <w:snapToGrid w:val="0"/>
        <w:rPr>
          <w:rFonts w:ascii="黑体" w:hAnsi="黑体" w:eastAsia="黑体"/>
          <w:sz w:val="32"/>
          <w:szCs w:val="32"/>
        </w:rPr>
      </w:pPr>
    </w:p>
    <w:p>
      <w:pPr>
        <w:snapToGrid w:val="0"/>
        <w:spacing w:line="560" w:lineRule="exact"/>
        <w:jc w:val="center"/>
        <w:rPr>
          <w:rFonts w:ascii="Times New Roman" w:hAnsi="Times New Roman" w:eastAsia="方正小标宋简体"/>
          <w:bCs/>
          <w:spacing w:val="-8"/>
          <w:sz w:val="44"/>
          <w:szCs w:val="44"/>
        </w:rPr>
      </w:pPr>
      <w:r>
        <w:rPr>
          <w:rFonts w:hint="eastAsia" w:ascii="Times New Roman" w:hAnsi="Times New Roman" w:eastAsia="方正小标宋简体"/>
          <w:bCs/>
          <w:spacing w:val="-8"/>
          <w:sz w:val="44"/>
          <w:szCs w:val="44"/>
        </w:rPr>
        <w:t>2023年</w:t>
      </w:r>
      <w:r>
        <w:rPr>
          <w:rFonts w:ascii="Times New Roman" w:hAnsi="Times New Roman" w:eastAsia="方正小标宋简体"/>
          <w:bCs/>
          <w:spacing w:val="-8"/>
          <w:sz w:val="44"/>
          <w:szCs w:val="44"/>
        </w:rPr>
        <w:t>企业薪酬调查工作实施方案</w:t>
      </w:r>
    </w:p>
    <w:p>
      <w:pPr>
        <w:snapToGrid w:val="0"/>
        <w:rPr>
          <w:rFonts w:hint="eastAsia" w:ascii="仿宋_GB2312" w:hAnsi="Times New Roman" w:eastAsia="仿宋_GB2312"/>
          <w:bCs/>
          <w:sz w:val="32"/>
          <w:szCs w:val="32"/>
        </w:rPr>
      </w:pP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一、调查目的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调查发布企业薪酬调查信息，引导企业合理确定职工工资水平，健全企业职工工资正常增长机制，优化人力资源配置，改进和加强政府对工资分配宏观调控，促进共同富裕。</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二、调查内容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企业基本情况、企业人工成本情况、企业从业人员工资报酬情况和新就业形态劳动者劳动报酬情况（见附件2、附件3、附件4、附件5、附件6、附件7和附件8）及部分制造业</w:t>
      </w:r>
      <w:r>
        <w:rPr>
          <w:rFonts w:ascii="Times New Roman" w:hAnsi="Times New Roman" w:eastAsia="仿宋_GB2312"/>
          <w:sz w:val="32"/>
          <w:szCs w:val="32"/>
        </w:rPr>
        <w:t>企业每季度的人工成本情况（填报表格同附件2</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三、调查时期和时间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调查分为年报和季报。年报是对2022年度企业人工成本劳动者薪酬情况的调查，调查的时期指标为2022年1月1日0时至12月31日24时的数据，时点指标为2022年12月31日24时的数据。季报是对2023年部分制造业企业人工成本情况的调查（79户企业），调查的时期指标分别为1月1日至3月31日、4月1日至6月30日、7月1日至9月30日、10月1日至12月31日的数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年报的实施时间为2023年2月至6月，国家和省级企业薪酬调查报表上报截止时间为2023年5月10日，市级报表数据上报截止时间为2023年6月10日。2023年部分制造业人工成本季报的实施时间为2023年1月至12月，报表上报时间为季后下月15日前</w:t>
      </w:r>
      <w:r>
        <w:rPr>
          <w:rFonts w:ascii="Times New Roman" w:hAnsi="Times New Roman" w:eastAsia="仿宋_GB2312"/>
          <w:sz w:val="32"/>
          <w:szCs w:val="32"/>
        </w:rPr>
        <w:t>完成数据采集并上传市局，市局审核后在20日前上报省人社厅</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四、调查</w:t>
      </w:r>
      <w:r>
        <w:rPr>
          <w:rFonts w:hint="eastAsia" w:ascii="Times New Roman" w:hAnsi="Times New Roman" w:eastAsia="黑体"/>
          <w:sz w:val="32"/>
          <w:szCs w:val="32"/>
        </w:rPr>
        <w:t>范围和对象</w:t>
      </w:r>
    </w:p>
    <w:p>
      <w:pPr>
        <w:spacing w:line="56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本次调查在全市10个地区进行，我市除参加国家</w:t>
      </w:r>
      <w:r>
        <w:rPr>
          <w:rFonts w:hint="eastAsia" w:ascii="Times New Roman" w:hAnsi="Times New Roman" w:eastAsia="仿宋_GB2312"/>
          <w:sz w:val="32"/>
          <w:szCs w:val="32"/>
        </w:rPr>
        <w:t>和省级</w:t>
      </w:r>
      <w:r>
        <w:rPr>
          <w:rFonts w:ascii="Times New Roman" w:hAnsi="Times New Roman" w:eastAsia="仿宋_GB2312"/>
          <w:sz w:val="32"/>
          <w:szCs w:val="32"/>
        </w:rPr>
        <w:t>企业薪酬调查之外，同步参加</w:t>
      </w:r>
      <w:r>
        <w:rPr>
          <w:rFonts w:hint="eastAsia" w:ascii="Times New Roman" w:hAnsi="Times New Roman" w:eastAsia="仿宋_GB2312"/>
          <w:sz w:val="32"/>
          <w:szCs w:val="32"/>
        </w:rPr>
        <w:t>市级</w:t>
      </w:r>
      <w:r>
        <w:rPr>
          <w:rFonts w:ascii="Times New Roman" w:hAnsi="Times New Roman" w:eastAsia="仿宋_GB2312"/>
          <w:sz w:val="32"/>
          <w:szCs w:val="32"/>
        </w:rPr>
        <w:t>企业薪酬调查</w:t>
      </w:r>
      <w:r>
        <w:rPr>
          <w:rFonts w:hint="eastAsia" w:ascii="Times New Roman" w:hAnsi="Times New Roman" w:eastAsia="仿宋_GB2312"/>
          <w:sz w:val="32"/>
          <w:szCs w:val="32"/>
        </w:rPr>
        <w:t>。</w:t>
      </w:r>
      <w:r>
        <w:rPr>
          <w:rFonts w:ascii="Times New Roman" w:hAnsi="Times New Roman" w:eastAsia="仿宋_GB2312"/>
          <w:sz w:val="32"/>
          <w:szCs w:val="32"/>
        </w:rPr>
        <w:t>国家、省级企业薪酬调查样本直接在人力资源社会保障部企业薪酬调查信息系统中下发各地。市级样本企业，要充分结合本地产业分布特点和社会经济发展实际，按照往年样本进行安排。除制造业偏少的姑苏区外，各地应着力吸纳</w:t>
      </w:r>
      <w:r>
        <w:rPr>
          <w:rFonts w:hint="eastAsia" w:ascii="Times New Roman" w:hAnsi="Times New Roman" w:eastAsia="仿宋_GB2312"/>
          <w:sz w:val="32"/>
          <w:szCs w:val="32"/>
        </w:rPr>
        <w:t>苏州4大先导产业（新一代信息技术、人工智能、纳米技术、生物医药）</w:t>
      </w:r>
      <w:r>
        <w:rPr>
          <w:rFonts w:ascii="Times New Roman" w:hAnsi="Times New Roman" w:eastAsia="仿宋_GB2312"/>
          <w:sz w:val="32"/>
          <w:szCs w:val="32"/>
        </w:rPr>
        <w:t>企业进入调查样本，姑苏区则重点在服务行业安排样本企业</w:t>
      </w:r>
      <w:r>
        <w:rPr>
          <w:rFonts w:hint="eastAsia" w:ascii="Times New Roman" w:hAnsi="Times New Roman" w:eastAsia="仿宋_GB2312"/>
          <w:sz w:val="32"/>
          <w:szCs w:val="32"/>
        </w:rPr>
        <w:t>，</w:t>
      </w:r>
      <w:r>
        <w:rPr>
          <w:rFonts w:ascii="Times New Roman" w:hAnsi="Times New Roman" w:eastAsia="仿宋_GB2312"/>
          <w:sz w:val="32"/>
          <w:szCs w:val="32"/>
        </w:rPr>
        <w:t>各地市级样本数量</w:t>
      </w:r>
      <w:r>
        <w:rPr>
          <w:rFonts w:hint="eastAsia" w:ascii="Times New Roman" w:hAnsi="Times New Roman" w:eastAsia="仿宋_GB2312"/>
          <w:sz w:val="32"/>
          <w:szCs w:val="32"/>
        </w:rPr>
        <w:t>另行确定。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调查对象分两类：一是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等18个行业门类（90个大类）各种登记注册类型的企业；二是由企业直接支付工资的劳动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就业形态劳动者劳动报酬调查是针对2022年度新就业形态劳动者劳动报酬、工时等情况的一项重点调查，总部注册地在我市的所有平台企业都应参加调查。调查范围为全市10个县市区。参与调查的平台企业根据属地原则（总部注册地所在县市区），由市人力资源社会保障局确定。调查对象为依托互联网平台就业，通过提供劳动或服务获取劳动报酬的劳动者。调查为年报，调查的时期指标为2022年1月1日0时至12月31日24时的数据，时点指标为2022年12月31日24时的数据。调查的实施时间为2023年2月至5月，报表上报截止时间为2023年5月10日。调查方式为线下报送，平台企业所填报的数据经市局审核EXCEL确认后上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另</w:t>
      </w:r>
      <w:r>
        <w:rPr>
          <w:rFonts w:ascii="Times New Roman" w:hAnsi="Times New Roman" w:eastAsia="仿宋_GB2312"/>
          <w:sz w:val="32"/>
          <w:szCs w:val="32"/>
        </w:rPr>
        <w:t>根据省厅要求，在全市范围内</w:t>
      </w:r>
      <w:r>
        <w:rPr>
          <w:rFonts w:hint="eastAsia" w:ascii="Times New Roman" w:hAnsi="Times New Roman" w:eastAsia="仿宋_GB2312"/>
          <w:sz w:val="32"/>
          <w:szCs w:val="32"/>
        </w:rPr>
        <w:t>抽取部分制造业企业开展人工成本情况监测调查，样本</w:t>
      </w:r>
      <w:r>
        <w:rPr>
          <w:rFonts w:ascii="Times New Roman" w:hAnsi="Times New Roman" w:eastAsia="仿宋_GB2312"/>
          <w:sz w:val="32"/>
          <w:szCs w:val="32"/>
        </w:rPr>
        <w:t>共</w:t>
      </w:r>
      <w:r>
        <w:rPr>
          <w:rFonts w:hint="eastAsia" w:ascii="Times New Roman" w:hAnsi="Times New Roman" w:eastAsia="仿宋_GB2312"/>
          <w:sz w:val="32"/>
          <w:szCs w:val="32"/>
        </w:rPr>
        <w:t>涉及</w:t>
      </w:r>
      <w:r>
        <w:rPr>
          <w:rFonts w:ascii="Times New Roman" w:hAnsi="Times New Roman" w:eastAsia="仿宋_GB2312"/>
          <w:sz w:val="32"/>
          <w:szCs w:val="32"/>
        </w:rPr>
        <w:t>5个制造业大类行业的79户</w:t>
      </w:r>
      <w:r>
        <w:rPr>
          <w:rFonts w:hint="eastAsia" w:ascii="Times New Roman" w:hAnsi="Times New Roman" w:eastAsia="仿宋_GB2312"/>
          <w:sz w:val="32"/>
          <w:szCs w:val="32"/>
        </w:rPr>
        <w:t>企业</w:t>
      </w:r>
      <w:r>
        <w:rPr>
          <w:rFonts w:ascii="Times New Roman" w:hAnsi="Times New Roman" w:eastAsia="仿宋_GB2312"/>
          <w:sz w:val="32"/>
          <w:szCs w:val="32"/>
        </w:rPr>
        <w:t>，监测企业样本和</w:t>
      </w:r>
      <w:r>
        <w:rPr>
          <w:rFonts w:hint="eastAsia" w:ascii="Times New Roman" w:hAnsi="Times New Roman" w:eastAsia="仿宋_GB2312"/>
          <w:sz w:val="32"/>
          <w:szCs w:val="32"/>
        </w:rPr>
        <w:t>监测方法与</w:t>
      </w:r>
      <w:r>
        <w:rPr>
          <w:rFonts w:ascii="Times New Roman" w:hAnsi="Times New Roman" w:eastAsia="仿宋_GB2312"/>
          <w:sz w:val="32"/>
          <w:szCs w:val="32"/>
        </w:rPr>
        <w:t>去年保持一致。</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五、调查方式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本次调查采取抽样调查的方法，调查样本包括部省两级薪酬调查样本企业和市级</w:t>
      </w:r>
      <w:r>
        <w:rPr>
          <w:rFonts w:hint="eastAsia" w:ascii="Times New Roman" w:hAnsi="Times New Roman" w:eastAsia="仿宋_GB2312"/>
          <w:sz w:val="32"/>
          <w:szCs w:val="32"/>
        </w:rPr>
        <w:t>薪酬调查</w:t>
      </w:r>
      <w:r>
        <w:rPr>
          <w:rFonts w:ascii="Times New Roman" w:hAnsi="Times New Roman" w:eastAsia="仿宋_GB2312"/>
          <w:sz w:val="32"/>
          <w:szCs w:val="32"/>
        </w:rPr>
        <w:t>样本企业。</w:t>
      </w:r>
    </w:p>
    <w:p>
      <w:pPr>
        <w:spacing w:line="560" w:lineRule="exact"/>
        <w:ind w:firstLine="640" w:firstLineChars="200"/>
        <w:rPr>
          <w:rFonts w:ascii="Times New Roman" w:hAnsi="Times New Roman" w:eastAsia="仿宋_GB2312"/>
          <w:sz w:val="32"/>
          <w:szCs w:val="32"/>
          <w:highlight w:val="yellow"/>
        </w:rPr>
      </w:pPr>
      <w:r>
        <w:rPr>
          <w:rFonts w:hint="eastAsia" w:ascii="Times New Roman" w:hAnsi="Times New Roman" w:eastAsia="仿宋_GB2312"/>
          <w:sz w:val="32"/>
          <w:szCs w:val="32"/>
        </w:rPr>
        <w:t>部、省级</w:t>
      </w:r>
      <w:r>
        <w:rPr>
          <w:rFonts w:ascii="Times New Roman" w:hAnsi="Times New Roman" w:eastAsia="仿宋_GB2312"/>
          <w:sz w:val="32"/>
          <w:szCs w:val="32"/>
        </w:rPr>
        <w:t>样本企业需通过人社部企业薪酬调查信息系统在线填报数据</w:t>
      </w:r>
      <w:r>
        <w:rPr>
          <w:rFonts w:hint="eastAsia" w:ascii="Times New Roman" w:hAnsi="Times New Roman" w:eastAsia="仿宋_GB2312"/>
          <w:sz w:val="32"/>
          <w:szCs w:val="32"/>
        </w:rPr>
        <w:t>（网址：http://survey.mohrss.gov.cn/xcdc/）；市级</w:t>
      </w:r>
      <w:r>
        <w:rPr>
          <w:rFonts w:ascii="Times New Roman" w:hAnsi="Times New Roman" w:eastAsia="仿宋_GB2312"/>
          <w:sz w:val="32"/>
          <w:szCs w:val="32"/>
        </w:rPr>
        <w:t>样本企业通过EXCEL电子表格填报《企业</w:t>
      </w:r>
      <w:r>
        <w:rPr>
          <w:rFonts w:hint="eastAsia" w:ascii="Times New Roman" w:hAnsi="Times New Roman" w:eastAsia="仿宋_GB2312"/>
          <w:sz w:val="32"/>
          <w:szCs w:val="32"/>
        </w:rPr>
        <w:t>从业人员工资报酬情况</w:t>
      </w:r>
      <w:r>
        <w:rPr>
          <w:rFonts w:ascii="Times New Roman" w:hAnsi="Times New Roman" w:eastAsia="仿宋_GB2312"/>
          <w:sz w:val="32"/>
          <w:szCs w:val="32"/>
        </w:rPr>
        <w:t>》《企业人工成本情况》，并按指定的路径上报市局。</w:t>
      </w:r>
      <w:r>
        <w:rPr>
          <w:rFonts w:hint="eastAsia" w:ascii="Times New Roman" w:hAnsi="Times New Roman" w:eastAsia="仿宋_GB2312"/>
          <w:sz w:val="32"/>
          <w:szCs w:val="32"/>
        </w:rPr>
        <w:t>制造业人工成本检测各季度数据上传至人社部指定网上填报系统（http://survey.mohrss.gov.cn/rgcb/）</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今年我市继续采用政府购买社会化服务的方式引进第三方机构完成对样本企业的培训、催报并审核调查数据等工作。各县（市）、区人力资源和社会保障局负责开展对本级样本企业的确认、组织工作</w:t>
      </w:r>
      <w:r>
        <w:rPr>
          <w:rFonts w:hint="eastAsia" w:ascii="Times New Roman" w:hAnsi="Times New Roman" w:eastAsia="仿宋_GB2312"/>
          <w:sz w:val="32"/>
          <w:szCs w:val="32"/>
        </w:rPr>
        <w:t>，</w:t>
      </w:r>
      <w:r>
        <w:rPr>
          <w:rFonts w:ascii="Times New Roman" w:hAnsi="Times New Roman" w:eastAsia="仿宋_GB2312"/>
          <w:sz w:val="32"/>
          <w:szCs w:val="32"/>
        </w:rPr>
        <w:t>以及对不配合企业的督促，并积极配合第三方机构开展调查工作。第三方机构在系统内对调查数据进行初审和复核确认后提交至市人力资源和社会保障局</w:t>
      </w:r>
      <w:r>
        <w:rPr>
          <w:rFonts w:hint="eastAsia" w:ascii="Times New Roman" w:hAnsi="Times New Roman" w:eastAsia="仿宋_GB2312"/>
          <w:sz w:val="32"/>
          <w:szCs w:val="32"/>
        </w:rPr>
        <w:t>。</w:t>
      </w:r>
      <w:r>
        <w:rPr>
          <w:rFonts w:ascii="Times New Roman" w:hAnsi="Times New Roman" w:eastAsia="仿宋_GB2312"/>
          <w:sz w:val="32"/>
          <w:szCs w:val="32"/>
        </w:rPr>
        <w:t>不具备网络在线填报数据条件的企业，可联系第三方机构或所在县（市）、区人力资源和社会保障局协助填报。</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企业薪酬调查培训手册等相关资料请到以下网址下载：</w:t>
      </w:r>
      <w:r>
        <w:fldChar w:fldCharType="begin"/>
      </w:r>
      <w:r>
        <w:instrText xml:space="preserve"> HYPERLINK "http://www.mohrss.gov.cn/tjdc/qyxcdc" </w:instrText>
      </w:r>
      <w:r>
        <w:fldChar w:fldCharType="separate"/>
      </w:r>
      <w:r>
        <w:rPr>
          <w:rFonts w:ascii="Times New Roman" w:hAnsi="Times New Roman" w:eastAsia="仿宋_GB2312"/>
          <w:sz w:val="32"/>
          <w:szCs w:val="32"/>
        </w:rPr>
        <w:t>http://www.mohrss.gov.cn/tjdc/qyxcdc</w:t>
      </w:r>
      <w:r>
        <w:rPr>
          <w:rFonts w:ascii="Times New Roman" w:hAnsi="Times New Roman" w:eastAsia="仿宋_GB2312"/>
          <w:sz w:val="32"/>
          <w:szCs w:val="32"/>
        </w:rPr>
        <w:fldChar w:fldCharType="end"/>
      </w:r>
      <w:r>
        <w:rPr>
          <w:rFonts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六、工作要求</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cs="楷体_GB2312"/>
          <w:sz w:val="32"/>
          <w:szCs w:val="32"/>
        </w:rPr>
        <w:t>（一）</w:t>
      </w:r>
      <w:r>
        <w:rPr>
          <w:rFonts w:hint="eastAsia" w:ascii="Times New Roman" w:hAnsi="Times New Roman" w:eastAsia="楷体_GB2312" w:cs="楷体_GB2312"/>
          <w:sz w:val="32"/>
          <w:szCs w:val="32"/>
        </w:rPr>
        <w:t>提高重视程度</w:t>
      </w:r>
      <w:r>
        <w:rPr>
          <w:rFonts w:ascii="Times New Roman" w:hAnsi="Times New Roman" w:eastAsia="楷体_GB2312" w:cs="楷体_GB2312"/>
          <w:sz w:val="32"/>
          <w:szCs w:val="32"/>
        </w:rPr>
        <w:t>。</w:t>
      </w:r>
      <w:r>
        <w:rPr>
          <w:rFonts w:hint="eastAsia" w:ascii="Times New Roman" w:hAnsi="Times New Roman" w:eastAsia="仿宋_GB2312"/>
          <w:sz w:val="32"/>
          <w:szCs w:val="32"/>
        </w:rPr>
        <w:t>开展企业薪酬调查工作是引导企业合理确定职工工资水平、健全企业职工工资正常增长的重要手段。</w:t>
      </w:r>
      <w:r>
        <w:rPr>
          <w:rFonts w:ascii="Times New Roman" w:hAnsi="Times New Roman" w:eastAsia="仿宋_GB2312"/>
          <w:sz w:val="32"/>
          <w:szCs w:val="32"/>
        </w:rPr>
        <w:t>各地要</w:t>
      </w:r>
      <w:r>
        <w:rPr>
          <w:rFonts w:hint="eastAsia" w:ascii="Times New Roman" w:hAnsi="Times New Roman" w:eastAsia="仿宋_GB2312"/>
          <w:sz w:val="32"/>
          <w:szCs w:val="32"/>
        </w:rPr>
        <w:t>在思想上高度重视，</w:t>
      </w:r>
      <w:r>
        <w:rPr>
          <w:rFonts w:ascii="Times New Roman" w:hAnsi="Times New Roman" w:eastAsia="仿宋_GB2312"/>
          <w:sz w:val="32"/>
          <w:szCs w:val="32"/>
        </w:rPr>
        <w:t>充分利用新闻媒体、政策法规宣传、劳动保障业务培训等</w:t>
      </w:r>
      <w:r>
        <w:rPr>
          <w:rFonts w:hint="eastAsia" w:ascii="Times New Roman" w:hAnsi="Times New Roman" w:eastAsia="仿宋_GB2312"/>
          <w:sz w:val="32"/>
          <w:szCs w:val="32"/>
        </w:rPr>
        <w:t>方式</w:t>
      </w:r>
      <w:r>
        <w:rPr>
          <w:rFonts w:ascii="Times New Roman" w:hAnsi="Times New Roman" w:eastAsia="仿宋_GB2312"/>
          <w:sz w:val="32"/>
          <w:szCs w:val="32"/>
        </w:rPr>
        <w:t>加大宣传力度，使样本企业认识到开展企业薪酬调查对政府做好企业工资分配宏观调控的重要性，企业配合调查是统计法赋予的义务。调查前要及时公布第三方机构的相关信息和各地调查工作有关负责同志的联系方式，防止企业误解。同时向企业发放《致调查样本企业的一封信》（见附件</w:t>
      </w:r>
      <w:r>
        <w:rPr>
          <w:rFonts w:hint="eastAsia" w:ascii="Times New Roman" w:hAnsi="Times New Roman" w:eastAsia="仿宋_GB2312"/>
          <w:sz w:val="32"/>
          <w:szCs w:val="32"/>
        </w:rPr>
        <w:t>9</w:t>
      </w:r>
      <w:r>
        <w:rPr>
          <w:rFonts w:ascii="Times New Roman" w:hAnsi="Times New Roman" w:eastAsia="仿宋_GB2312"/>
          <w:sz w:val="32"/>
          <w:szCs w:val="32"/>
        </w:rPr>
        <w:t>），告知不会将调查数据用作</w:t>
      </w:r>
      <w:r>
        <w:rPr>
          <w:rFonts w:hint="eastAsia" w:ascii="Times New Roman" w:hAnsi="Times New Roman" w:eastAsia="仿宋_GB2312"/>
          <w:sz w:val="32"/>
          <w:szCs w:val="32"/>
        </w:rPr>
        <w:t>工作</w:t>
      </w:r>
      <w:r>
        <w:rPr>
          <w:rFonts w:ascii="Times New Roman" w:hAnsi="Times New Roman" w:eastAsia="仿宋_GB2312"/>
          <w:sz w:val="32"/>
          <w:szCs w:val="32"/>
        </w:rPr>
        <w:t>外的其它用途，不作为劳动保障监察查处的依据，引导企业自觉、主动参与，如实填报数据。</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cs="楷体_GB2312"/>
          <w:sz w:val="32"/>
          <w:szCs w:val="32"/>
        </w:rPr>
        <w:t>（</w:t>
      </w:r>
      <w:r>
        <w:rPr>
          <w:rFonts w:hint="eastAsia" w:ascii="Times New Roman" w:hAnsi="Times New Roman" w:eastAsia="楷体_GB2312" w:cs="楷体_GB2312"/>
          <w:sz w:val="32"/>
          <w:szCs w:val="32"/>
        </w:rPr>
        <w:t>二</w:t>
      </w:r>
      <w:r>
        <w:rPr>
          <w:rFonts w:ascii="Times New Roman" w:hAnsi="Times New Roman" w:eastAsia="楷体_GB2312" w:cs="楷体_GB2312"/>
          <w:sz w:val="32"/>
          <w:szCs w:val="32"/>
        </w:rPr>
        <w:t>）加强组织领导。</w:t>
      </w:r>
      <w:r>
        <w:rPr>
          <w:rFonts w:ascii="Times New Roman" w:hAnsi="Times New Roman" w:eastAsia="仿宋_GB2312"/>
          <w:sz w:val="32"/>
          <w:szCs w:val="32"/>
        </w:rPr>
        <w:t>各地要从利于开展调查的实际出发，选调精干人员，加强与第三方机构的沟通联系，积极配合第三方机构的调查工作，保证调查工作按照时间节点有序推进。建立上下工作联动和质量保障机制，对于不配合调查或数据多次异常等拖慢调查进度的样本企业，各地要切实加强监督指导</w:t>
      </w:r>
      <w:r>
        <w:rPr>
          <w:rFonts w:hint="eastAsia" w:ascii="Times New Roman" w:hAnsi="Times New Roman" w:eastAsia="仿宋_GB2312"/>
          <w:sz w:val="32"/>
          <w:szCs w:val="32"/>
        </w:rPr>
        <w:t>。通过组织召开薪酬调查线下培训等方式</w:t>
      </w:r>
      <w:r>
        <w:rPr>
          <w:rFonts w:ascii="Times New Roman" w:hAnsi="Times New Roman" w:eastAsia="仿宋_GB2312"/>
          <w:sz w:val="32"/>
          <w:szCs w:val="32"/>
        </w:rPr>
        <w:t>，</w:t>
      </w:r>
      <w:r>
        <w:rPr>
          <w:rFonts w:hint="eastAsia" w:ascii="Times New Roman" w:hAnsi="Times New Roman" w:eastAsia="仿宋_GB2312"/>
          <w:sz w:val="32"/>
          <w:szCs w:val="32"/>
        </w:rPr>
        <w:t>重点让企业填报人员熟悉调查内容，严格掌握各项指标口径，清楚数据上报流程，正确使用上报软件，确保企业主要经济指标、企业人工成本指标、企业从业人员工资报酬和新就业形态劳动者劳动报酬相关指标等填报正确，</w:t>
      </w:r>
      <w:r>
        <w:rPr>
          <w:rFonts w:ascii="Times New Roman" w:hAnsi="Times New Roman" w:eastAsia="仿宋_GB2312"/>
          <w:sz w:val="32"/>
          <w:szCs w:val="32"/>
        </w:rPr>
        <w:t>确保按时、保质、保量完成各项调查任务。</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cs="楷体_GB2312"/>
          <w:sz w:val="32"/>
          <w:szCs w:val="32"/>
        </w:rPr>
        <w:t>（三）</w:t>
      </w:r>
      <w:r>
        <w:rPr>
          <w:rFonts w:hint="eastAsia" w:ascii="Times New Roman" w:hAnsi="Times New Roman" w:eastAsia="楷体_GB2312" w:cs="楷体_GB2312"/>
          <w:sz w:val="32"/>
          <w:szCs w:val="32"/>
        </w:rPr>
        <w:t>严把数据审核关</w:t>
      </w:r>
      <w:r>
        <w:rPr>
          <w:rFonts w:ascii="Times New Roman" w:hAnsi="Times New Roman" w:eastAsia="楷体_GB2312" w:cs="楷体_GB2312"/>
          <w:sz w:val="32"/>
          <w:szCs w:val="32"/>
        </w:rPr>
        <w:t>。</w:t>
      </w:r>
      <w:r>
        <w:rPr>
          <w:rFonts w:hint="eastAsia" w:ascii="Times New Roman" w:hAnsi="Times New Roman" w:eastAsia="仿宋_GB2312"/>
          <w:sz w:val="32"/>
          <w:szCs w:val="32"/>
        </w:rPr>
        <w:t>各级工作人员要切实落实责任，按照人社部下发的《企业薪酬调查数据质量控制规范》（2.0</w:t>
      </w:r>
      <w:r>
        <w:rPr>
          <w:rFonts w:hint="eastAsia" w:ascii="Times New Roman" w:hAnsi="Times New Roman" w:eastAsia="楷体_GB2312" w:cs="楷体_GB2312"/>
          <w:sz w:val="32"/>
          <w:szCs w:val="32"/>
        </w:rPr>
        <w:t>版本</w:t>
      </w:r>
      <w:r>
        <w:rPr>
          <w:rFonts w:hint="eastAsia" w:ascii="Times New Roman" w:hAnsi="Times New Roman" w:eastAsia="仿宋_GB2312"/>
          <w:sz w:val="32"/>
          <w:szCs w:val="32"/>
        </w:rPr>
        <w:t>）</w:t>
      </w:r>
      <w:r>
        <w:rPr>
          <w:rFonts w:ascii="Times New Roman" w:hAnsi="Times New Roman" w:eastAsia="仿宋_GB2312"/>
          <w:sz w:val="32"/>
          <w:szCs w:val="32"/>
        </w:rPr>
        <w:t>各地要高度重视数据质量问题，配合第三方机构切实加强对数据的审核工作。</w:t>
      </w:r>
      <w:r>
        <w:rPr>
          <w:rFonts w:hint="eastAsia" w:ascii="Times New Roman" w:hAnsi="Times New Roman" w:eastAsia="仿宋_GB2312"/>
          <w:sz w:val="32"/>
          <w:szCs w:val="32"/>
        </w:rPr>
        <w:t>调查开展后，市局将及时通报各地工作进展情况，对调查数据质量不高、进展缓慢的地区进行重点督导，各地在调查工作中遇到问题需要市局协调的要及时上报，确保全市调查进度不受影响。要</w:t>
      </w:r>
      <w:r>
        <w:rPr>
          <w:rFonts w:ascii="Times New Roman" w:hAnsi="Times New Roman" w:eastAsia="仿宋_GB2312"/>
          <w:sz w:val="32"/>
          <w:szCs w:val="32"/>
        </w:rPr>
        <w:t>严格按照分配的样本企业和行业结构开展调查，对因自然消亡和不符合调查条件的企业应经市局同意，并在人社部指定的填报系统内进行补充抽样，没有补充样本的，要严格按照“同地区、同行业、同规模”的原则进行补充抽样和替换，确保调查工作的科学性和统一性。</w:t>
      </w:r>
    </w:p>
    <w:p>
      <w:pPr>
        <w:widowControl/>
        <w:spacing w:line="55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5B899E-7D8D-4C78-81A7-7523692A46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01A33A0-C4D0-4286-BE8C-DEF9A5AB64DD}"/>
  </w:font>
  <w:font w:name="方正小标宋简体">
    <w:panose1 w:val="02000000000000000000"/>
    <w:charset w:val="86"/>
    <w:family w:val="script"/>
    <w:pitch w:val="default"/>
    <w:sig w:usb0="00000001" w:usb1="08000000" w:usb2="00000000" w:usb3="00000000" w:csb0="00040000" w:csb1="00000000"/>
    <w:embedRegular r:id="rId3" w:fontKey="{A88B9E81-AA96-43DC-B572-E8EEA9177F1C}"/>
  </w:font>
  <w:font w:name="仿宋_GB2312">
    <w:panose1 w:val="02010609030101010101"/>
    <w:charset w:val="86"/>
    <w:family w:val="modern"/>
    <w:pitch w:val="default"/>
    <w:sig w:usb0="00000001" w:usb1="080E0000" w:usb2="00000000" w:usb3="00000000" w:csb0="00040000" w:csb1="00000000"/>
    <w:embedRegular r:id="rId4" w:fontKey="{CE0B9E07-5929-4479-80C9-7934A38713BE}"/>
  </w:font>
  <w:font w:name="楷体_GB2312">
    <w:altName w:val="楷体"/>
    <w:panose1 w:val="02010609030101010101"/>
    <w:charset w:val="86"/>
    <w:family w:val="modern"/>
    <w:pitch w:val="default"/>
    <w:sig w:usb0="00000000" w:usb1="00000000" w:usb2="00000010" w:usb3="00000000" w:csb0="00040000" w:csb1="00000000"/>
    <w:embedRegular r:id="rId5" w:fontKey="{B26C8565-98DB-4C61-A687-00E7D039A8A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TU3OTI5MzgxODQ2MjgyNjI2ODY3Y2Y3MGMzYmMifQ=="/>
    <w:docVar w:name="KSO_WPS_MARK_KEY" w:val="b675dedd-5400-4c4d-b58b-0c16053c1eed"/>
  </w:docVars>
  <w:rsids>
    <w:rsidRoot w:val="00000000"/>
    <w:rsid w:val="3C264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2023-03-23T05:03:37Z</dcterms:created>
  <dc:creator>admin</dc:creator>
  <cp:lastModifiedBy>邹沁含</cp:lastModifiedBy>
  <dcterms:modified xsi:type="dcterms:W3CDTF">2023-03-23T05:03:50Z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0892AE242E5047D6A2DADDB57D4C6D4A</vt:lpwstr>
  </property>
</Properties>
</file>