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3FC3" w:rsidRDefault="00A33FC3">
      <w:pPr>
        <w:rPr>
          <w:rFonts w:eastAsia="仿宋_GB2312"/>
          <w:sz w:val="30"/>
        </w:rPr>
      </w:pPr>
    </w:p>
    <w:p w:rsidR="00A33FC3" w:rsidRDefault="00F9155C">
      <w:pPr>
        <w:spacing w:line="360" w:lineRule="auto"/>
        <w:jc w:val="center"/>
        <w:rPr>
          <w:rFonts w:ascii="黑体" w:eastAsia="黑体" w:hAnsi="黑体"/>
          <w:sz w:val="32"/>
          <w:szCs w:val="32"/>
        </w:rPr>
      </w:pPr>
      <w:r>
        <w:rPr>
          <w:rFonts w:ascii="黑体" w:eastAsia="黑体" w:hAnsi="黑体" w:hint="eastAsia"/>
          <w:sz w:val="32"/>
          <w:szCs w:val="32"/>
        </w:rPr>
        <w:t>苏州市市级预算部门（单位）整体支出预算绩效自评报告</w:t>
      </w:r>
    </w:p>
    <w:p w:rsidR="00A33FC3" w:rsidRDefault="00F9155C">
      <w:pPr>
        <w:spacing w:line="360" w:lineRule="auto"/>
        <w:jc w:val="center"/>
        <w:rPr>
          <w:rFonts w:ascii="黑体" w:eastAsia="黑体"/>
          <w:sz w:val="32"/>
          <w:szCs w:val="32"/>
        </w:rPr>
      </w:pPr>
      <w:r>
        <w:rPr>
          <w:rFonts w:ascii="黑体" w:eastAsia="黑体" w:hint="eastAsia"/>
          <w:sz w:val="32"/>
          <w:szCs w:val="32"/>
        </w:rPr>
        <w:t>（</w:t>
      </w:r>
      <w:r>
        <w:rPr>
          <w:rFonts w:ascii="黑体" w:eastAsia="黑体" w:hint="eastAsia"/>
          <w:sz w:val="32"/>
          <w:szCs w:val="32"/>
        </w:rPr>
        <w:t>2023</w:t>
      </w:r>
      <w:r>
        <w:rPr>
          <w:rFonts w:ascii="黑体" w:eastAsia="黑体" w:hint="eastAsia"/>
          <w:sz w:val="32"/>
          <w:szCs w:val="32"/>
        </w:rPr>
        <w:t>年度）</w:t>
      </w:r>
    </w:p>
    <w:p w:rsidR="00A33FC3" w:rsidRDefault="00A33FC3">
      <w:pPr>
        <w:spacing w:line="360" w:lineRule="auto"/>
        <w:jc w:val="center"/>
        <w:rPr>
          <w:rFonts w:eastAsia="仿宋_GB2312"/>
          <w:sz w:val="30"/>
        </w:rPr>
      </w:pPr>
    </w:p>
    <w:p w:rsidR="00A33FC3" w:rsidRDefault="00F9155C">
      <w:pPr>
        <w:spacing w:line="360" w:lineRule="auto"/>
        <w:ind w:firstLineChars="200" w:firstLine="600"/>
        <w:rPr>
          <w:rFonts w:ascii="黑体" w:eastAsia="黑体" w:hAnsi="黑体"/>
          <w:sz w:val="30"/>
        </w:rPr>
      </w:pPr>
      <w:r>
        <w:rPr>
          <w:rFonts w:ascii="黑体" w:eastAsia="黑体" w:hAnsi="黑体" w:hint="eastAsia"/>
          <w:sz w:val="30"/>
        </w:rPr>
        <w:t>一、预算部门名称：</w:t>
      </w:r>
      <w:r>
        <w:rPr>
          <w:rFonts w:ascii="宋体" w:hAnsi="宋体" w:cs="宋体" w:hint="eastAsia"/>
          <w:sz w:val="24"/>
        </w:rPr>
        <w:t>苏州市技工教育教研室</w:t>
      </w:r>
    </w:p>
    <w:p w:rsidR="00A33FC3" w:rsidRDefault="00F9155C">
      <w:pPr>
        <w:spacing w:line="360" w:lineRule="auto"/>
        <w:ind w:firstLineChars="200" w:firstLine="600"/>
        <w:rPr>
          <w:rFonts w:ascii="黑体" w:eastAsia="黑体" w:hAnsi="黑体"/>
          <w:sz w:val="30"/>
        </w:rPr>
      </w:pPr>
      <w:r>
        <w:rPr>
          <w:rFonts w:ascii="黑体" w:eastAsia="黑体" w:hAnsi="黑体" w:hint="eastAsia"/>
          <w:sz w:val="30"/>
        </w:rPr>
        <w:t>二、</w:t>
      </w:r>
      <w:r>
        <w:rPr>
          <w:rFonts w:ascii="黑体" w:eastAsia="黑体" w:hAnsi="黑体"/>
          <w:sz w:val="30"/>
        </w:rPr>
        <w:t>年度履职目标完成情况</w:t>
      </w:r>
      <w:r>
        <w:rPr>
          <w:rFonts w:ascii="黑体" w:eastAsia="黑体" w:hAnsi="黑体" w:hint="eastAsia"/>
          <w:sz w:val="30"/>
        </w:rPr>
        <w:t>：</w:t>
      </w:r>
    </w:p>
    <w:p w:rsidR="00A33FC3" w:rsidRDefault="00F9155C">
      <w:pPr>
        <w:spacing w:line="360" w:lineRule="auto"/>
        <w:ind w:firstLineChars="200" w:firstLine="480"/>
        <w:rPr>
          <w:rFonts w:ascii="宋体" w:hAnsi="宋体" w:cs="宋体"/>
          <w:sz w:val="24"/>
        </w:rPr>
      </w:pPr>
      <w:r>
        <w:rPr>
          <w:rFonts w:ascii="宋体" w:hAnsi="宋体" w:cs="宋体" w:hint="eastAsia"/>
          <w:sz w:val="24"/>
        </w:rPr>
        <w:t>为深入学习贯彻习近平新时代中国特色社会主义思想和党的二十大精神，大力实施技工院校提升行动，认真落实国家、省、市关于全面深化新时代教师队伍建设改革的决策部署，技工教研室较好的完成了年度履职目标。</w:t>
      </w:r>
      <w:r>
        <w:rPr>
          <w:rFonts w:ascii="宋体" w:hAnsi="宋体" w:cs="宋体" w:hint="eastAsia"/>
          <w:sz w:val="24"/>
        </w:rPr>
        <w:t>2023</w:t>
      </w:r>
      <w:r>
        <w:rPr>
          <w:rFonts w:ascii="宋体" w:hAnsi="宋体" w:cs="宋体" w:hint="eastAsia"/>
          <w:sz w:val="24"/>
        </w:rPr>
        <w:t>年完成了教研室人员健康体检、专项培训、党团活动等项目；联合举办</w:t>
      </w:r>
      <w:r>
        <w:rPr>
          <w:rFonts w:ascii="宋体" w:hAnsi="宋体" w:cs="宋体" w:hint="eastAsia"/>
          <w:sz w:val="24"/>
        </w:rPr>
        <w:t>2023</w:t>
      </w:r>
      <w:r>
        <w:rPr>
          <w:rFonts w:ascii="宋体" w:hAnsi="宋体" w:cs="宋体" w:hint="eastAsia"/>
          <w:sz w:val="24"/>
        </w:rPr>
        <w:t>年苏锡常三地技工院校骨干教师师资研修班，组织</w:t>
      </w:r>
      <w:r>
        <w:rPr>
          <w:rFonts w:ascii="宋体" w:hAnsi="宋体" w:cs="宋体" w:hint="eastAsia"/>
          <w:sz w:val="24"/>
        </w:rPr>
        <w:t>2023</w:t>
      </w:r>
      <w:r>
        <w:rPr>
          <w:rFonts w:ascii="宋体" w:hAnsi="宋体" w:cs="宋体" w:hint="eastAsia"/>
          <w:sz w:val="24"/>
        </w:rPr>
        <w:t>年全市技工院校教师暑期进企业研修，组织开展全市技工院校先进制造中心教研组、现代服务中心教研组、素质中心教研组活动；开展苏州市教学名师、专业带头人、教坛新秀评选工作，对全市技工院校教师论文、教</w:t>
      </w:r>
      <w:r>
        <w:rPr>
          <w:rFonts w:ascii="宋体" w:hAnsi="宋体" w:cs="宋体" w:hint="eastAsia"/>
          <w:sz w:val="24"/>
        </w:rPr>
        <w:t>案评比；书香文化节、汉字书写作品评审工作；开展第十五届苏州市“普通话、苏州方言、英语口语”比赛，全市技工院校篮球赛、冬季三项运动会、乒乓球赛，</w:t>
      </w:r>
      <w:r>
        <w:rPr>
          <w:rFonts w:ascii="宋体" w:hAnsi="宋体" w:cs="宋体" w:hint="eastAsia"/>
          <w:sz w:val="24"/>
        </w:rPr>
        <w:t>2022</w:t>
      </w:r>
      <w:r>
        <w:rPr>
          <w:rFonts w:ascii="宋体" w:hAnsi="宋体" w:cs="宋体" w:hint="eastAsia"/>
          <w:sz w:val="24"/>
        </w:rPr>
        <w:t>—</w:t>
      </w:r>
      <w:r>
        <w:rPr>
          <w:rFonts w:ascii="宋体" w:hAnsi="宋体" w:cs="宋体" w:hint="eastAsia"/>
          <w:sz w:val="24"/>
        </w:rPr>
        <w:t>2023</w:t>
      </w:r>
      <w:r>
        <w:rPr>
          <w:rFonts w:ascii="宋体" w:hAnsi="宋体" w:cs="宋体" w:hint="eastAsia"/>
          <w:sz w:val="24"/>
        </w:rPr>
        <w:t>学年全市“三好”学生、优秀学生干部、先进集体代表能力提升活动。产出指标完成情况较好。</w:t>
      </w:r>
    </w:p>
    <w:p w:rsidR="00A33FC3" w:rsidRDefault="00F9155C">
      <w:pPr>
        <w:spacing w:line="360" w:lineRule="auto"/>
        <w:ind w:left="600"/>
        <w:rPr>
          <w:rFonts w:ascii="黑体" w:eastAsia="黑体" w:hAnsi="黑体"/>
          <w:sz w:val="30"/>
        </w:rPr>
      </w:pPr>
      <w:r>
        <w:rPr>
          <w:rFonts w:ascii="黑体" w:eastAsia="黑体" w:hAnsi="黑体" w:hint="eastAsia"/>
          <w:sz w:val="30"/>
        </w:rPr>
        <w:t>三、部门（单位）概况</w:t>
      </w:r>
    </w:p>
    <w:p w:rsidR="00A33FC3" w:rsidRDefault="00F9155C">
      <w:pPr>
        <w:spacing w:line="360" w:lineRule="auto"/>
        <w:ind w:firstLineChars="200" w:firstLine="480"/>
        <w:rPr>
          <w:rFonts w:ascii="宋体" w:hAnsi="宋体" w:cs="宋体"/>
          <w:sz w:val="24"/>
        </w:rPr>
      </w:pPr>
      <w:r>
        <w:rPr>
          <w:rFonts w:ascii="宋体" w:hAnsi="宋体" w:cs="宋体" w:hint="eastAsia"/>
          <w:sz w:val="24"/>
        </w:rPr>
        <w:t>苏州市技工教育教研室为全额拨款的公益一类事业单位，核定事业编制</w:t>
      </w:r>
      <w:r>
        <w:rPr>
          <w:rFonts w:ascii="宋体" w:hAnsi="宋体" w:cs="宋体" w:hint="eastAsia"/>
          <w:sz w:val="24"/>
        </w:rPr>
        <w:t>4</w:t>
      </w:r>
      <w:r>
        <w:rPr>
          <w:rFonts w:ascii="宋体" w:hAnsi="宋体" w:cs="宋体" w:hint="eastAsia"/>
          <w:sz w:val="24"/>
        </w:rPr>
        <w:t>名，</w:t>
      </w:r>
      <w:r>
        <w:rPr>
          <w:rFonts w:ascii="宋体" w:hAnsi="宋体" w:cs="宋体" w:hint="eastAsia"/>
          <w:sz w:val="24"/>
        </w:rPr>
        <w:t>2023</w:t>
      </w:r>
      <w:r>
        <w:rPr>
          <w:rFonts w:ascii="宋体" w:hAnsi="宋体" w:cs="宋体" w:hint="eastAsia"/>
          <w:sz w:val="24"/>
        </w:rPr>
        <w:t>年末实有在编在职工作人员</w:t>
      </w:r>
      <w:r>
        <w:rPr>
          <w:rFonts w:ascii="宋体" w:hAnsi="宋体" w:cs="宋体" w:hint="eastAsia"/>
          <w:sz w:val="24"/>
        </w:rPr>
        <w:t>4</w:t>
      </w:r>
      <w:r>
        <w:rPr>
          <w:rFonts w:ascii="宋体" w:hAnsi="宋体" w:cs="宋体" w:hint="eastAsia"/>
          <w:sz w:val="24"/>
        </w:rPr>
        <w:t>名。单位主要职能：负责综合指导全市技工学校教学教研活动；开展技工教育教学与理论研究，引进和推广国内外先进教学理念、教学模式和方法；组织全市技工</w:t>
      </w:r>
      <w:r>
        <w:rPr>
          <w:rFonts w:ascii="宋体" w:hAnsi="宋体" w:cs="宋体" w:hint="eastAsia"/>
          <w:sz w:val="24"/>
        </w:rPr>
        <w:t>学校开展课程建设、校企合作、校本教材开发等教学改革活动；开展技工类学校教师业务培训活动；承办苏州市人力资源和社会保障局交办的其它事项。</w:t>
      </w:r>
    </w:p>
    <w:p w:rsidR="00A33FC3" w:rsidRDefault="00F9155C">
      <w:pPr>
        <w:spacing w:line="360" w:lineRule="auto"/>
        <w:ind w:left="600"/>
        <w:rPr>
          <w:rFonts w:ascii="黑体" w:eastAsia="黑体" w:hAnsi="黑体"/>
          <w:sz w:val="30"/>
        </w:rPr>
      </w:pPr>
      <w:r>
        <w:rPr>
          <w:rFonts w:ascii="黑体" w:eastAsia="黑体" w:hAnsi="黑体" w:hint="eastAsia"/>
          <w:sz w:val="30"/>
        </w:rPr>
        <w:t>四、部门</w:t>
      </w:r>
      <w:r>
        <w:rPr>
          <w:rFonts w:ascii="黑体" w:eastAsia="黑体" w:hAnsi="黑体"/>
          <w:sz w:val="30"/>
        </w:rPr>
        <w:t>（</w:t>
      </w:r>
      <w:r>
        <w:rPr>
          <w:rFonts w:ascii="黑体" w:eastAsia="黑体" w:hAnsi="黑体" w:hint="eastAsia"/>
          <w:sz w:val="30"/>
        </w:rPr>
        <w:t>单位</w:t>
      </w:r>
      <w:r>
        <w:rPr>
          <w:rFonts w:ascii="黑体" w:eastAsia="黑体" w:hAnsi="黑体"/>
          <w:sz w:val="30"/>
        </w:rPr>
        <w:t>）</w:t>
      </w:r>
      <w:r>
        <w:rPr>
          <w:rFonts w:ascii="黑体" w:eastAsia="黑体" w:hAnsi="黑体" w:hint="eastAsia"/>
          <w:sz w:val="30"/>
        </w:rPr>
        <w:t>整体支出绩效实现情况</w:t>
      </w:r>
    </w:p>
    <w:p w:rsidR="00A33FC3" w:rsidRDefault="00F9155C">
      <w:pPr>
        <w:spacing w:line="360" w:lineRule="auto"/>
        <w:ind w:firstLineChars="200" w:firstLine="480"/>
        <w:rPr>
          <w:rFonts w:ascii="宋体" w:hAnsi="宋体" w:cs="宋体"/>
          <w:sz w:val="24"/>
        </w:rPr>
      </w:pPr>
      <w:r>
        <w:rPr>
          <w:rFonts w:ascii="宋体" w:hAnsi="宋体" w:cs="宋体" w:hint="eastAsia"/>
          <w:sz w:val="24"/>
        </w:rPr>
        <w:t>（一）单位整体支出使用方向苏州市技工教育教研室</w:t>
      </w:r>
      <w:r>
        <w:rPr>
          <w:rFonts w:ascii="宋体" w:hAnsi="宋体" w:cs="宋体" w:hint="eastAsia"/>
          <w:sz w:val="24"/>
        </w:rPr>
        <w:t>2023</w:t>
      </w:r>
      <w:r>
        <w:rPr>
          <w:rFonts w:ascii="宋体" w:hAnsi="宋体" w:cs="宋体" w:hint="eastAsia"/>
          <w:sz w:val="24"/>
        </w:rPr>
        <w:t>年度整体支出合计</w:t>
      </w:r>
      <w:r>
        <w:rPr>
          <w:rFonts w:ascii="宋体" w:hAnsi="宋体" w:cs="宋体" w:hint="eastAsia"/>
          <w:sz w:val="24"/>
        </w:rPr>
        <w:t>197.43</w:t>
      </w:r>
      <w:r>
        <w:rPr>
          <w:rFonts w:ascii="宋体" w:hAnsi="宋体" w:cs="宋体" w:hint="eastAsia"/>
          <w:sz w:val="24"/>
        </w:rPr>
        <w:t>万元，主要用于如下：</w:t>
      </w:r>
      <w:r>
        <w:rPr>
          <w:rFonts w:ascii="宋体" w:hAnsi="宋体" w:cs="宋体" w:hint="eastAsia"/>
          <w:sz w:val="24"/>
        </w:rPr>
        <w:t>1</w:t>
      </w:r>
      <w:r>
        <w:rPr>
          <w:rFonts w:ascii="宋体" w:hAnsi="宋体" w:cs="宋体" w:hint="eastAsia"/>
          <w:sz w:val="24"/>
        </w:rPr>
        <w:t>．基本工资、津贴补贴等人员经费；</w:t>
      </w:r>
      <w:r>
        <w:rPr>
          <w:rFonts w:ascii="宋体" w:hAnsi="宋体" w:cs="宋体" w:hint="eastAsia"/>
          <w:sz w:val="24"/>
        </w:rPr>
        <w:t>2</w:t>
      </w:r>
      <w:r>
        <w:rPr>
          <w:rFonts w:ascii="宋体" w:hAnsi="宋体" w:cs="宋体" w:hint="eastAsia"/>
          <w:sz w:val="24"/>
        </w:rPr>
        <w:t>．办公费、差旅费、邮寄费等日常公用经费；</w:t>
      </w:r>
      <w:r>
        <w:rPr>
          <w:rFonts w:ascii="宋体" w:hAnsi="宋体" w:cs="宋体" w:hint="eastAsia"/>
          <w:sz w:val="24"/>
        </w:rPr>
        <w:t>3</w:t>
      </w:r>
      <w:r>
        <w:rPr>
          <w:rFonts w:ascii="宋体" w:hAnsi="宋体" w:cs="宋体" w:hint="eastAsia"/>
          <w:sz w:val="24"/>
        </w:rPr>
        <w:t>．围绕全市技工教育教研正常开展的相关项目经费。（二）单位整体支出绩效目标设立情况中长期绩效目标：落实好中共中央、国务院关于教育</w:t>
      </w:r>
      <w:r>
        <w:rPr>
          <w:rFonts w:ascii="宋体" w:hAnsi="宋体" w:cs="宋体" w:hint="eastAsia"/>
          <w:sz w:val="24"/>
        </w:rPr>
        <w:lastRenderedPageBreak/>
        <w:t>各个领域的改革要求、坚持教育优先</w:t>
      </w:r>
      <w:r>
        <w:rPr>
          <w:rFonts w:ascii="宋体" w:hAnsi="宋体" w:cs="宋体" w:hint="eastAsia"/>
          <w:sz w:val="24"/>
        </w:rPr>
        <w:t>发展，坚持立德树人根本任务，践行培养社会主义建设者和接班人重要使命，不断提升教育现代化水平，为技能强国，提供智力支持和人才保障。通过教学教研活动的开展，加强对技工院校教育教学的研究及教师业务能力培训，以提升全市技工院校办学水平及研究能力。年度期绩效目标：技工教育教研室将以习近平新时代中国特色社会主义思想为指导，深入贯彻落实党的二十大精神，全面贯彻落实党的教育方针，按照全国教育大会、全省教育大会对当前和今后一个时期教育改革发展作出的战略部署，重点抓好以下几下面的工作：</w:t>
      </w:r>
      <w:r>
        <w:rPr>
          <w:rFonts w:ascii="宋体" w:hAnsi="宋体" w:cs="宋体" w:hint="eastAsia"/>
          <w:sz w:val="24"/>
        </w:rPr>
        <w:t xml:space="preserve">1. </w:t>
      </w:r>
      <w:r>
        <w:rPr>
          <w:rFonts w:ascii="宋体" w:hAnsi="宋体" w:cs="宋体" w:hint="eastAsia"/>
          <w:sz w:val="24"/>
        </w:rPr>
        <w:t>负责综合指导全市技工院校教学教研活动</w:t>
      </w:r>
      <w:r>
        <w:rPr>
          <w:rFonts w:ascii="宋体" w:hAnsi="宋体" w:cs="宋体" w:hint="eastAsia"/>
          <w:sz w:val="24"/>
        </w:rPr>
        <w:t>，组织技工类院校教师业务培训；</w:t>
      </w:r>
      <w:r>
        <w:rPr>
          <w:rFonts w:ascii="宋体" w:hAnsi="宋体" w:cs="宋体" w:hint="eastAsia"/>
          <w:sz w:val="24"/>
        </w:rPr>
        <w:t xml:space="preserve">2. </w:t>
      </w:r>
      <w:r>
        <w:rPr>
          <w:rFonts w:ascii="宋体" w:hAnsi="宋体" w:cs="宋体" w:hint="eastAsia"/>
          <w:sz w:val="24"/>
        </w:rPr>
        <w:t>开展技工教育教学与理论研究；</w:t>
      </w:r>
      <w:r>
        <w:rPr>
          <w:rFonts w:ascii="宋体" w:hAnsi="宋体" w:cs="宋体" w:hint="eastAsia"/>
          <w:sz w:val="24"/>
        </w:rPr>
        <w:t>3.</w:t>
      </w:r>
      <w:r>
        <w:rPr>
          <w:rFonts w:ascii="宋体" w:hAnsi="宋体" w:cs="宋体" w:hint="eastAsia"/>
          <w:sz w:val="24"/>
        </w:rPr>
        <w:t>开展技工院校学生各类活动。（三）总体绩效评价</w:t>
      </w:r>
      <w:r>
        <w:rPr>
          <w:rFonts w:ascii="宋体" w:hAnsi="宋体" w:cs="宋体" w:hint="eastAsia"/>
          <w:sz w:val="24"/>
        </w:rPr>
        <w:t>2023</w:t>
      </w:r>
      <w:r>
        <w:rPr>
          <w:rFonts w:ascii="宋体" w:hAnsi="宋体" w:cs="宋体" w:hint="eastAsia"/>
          <w:sz w:val="24"/>
        </w:rPr>
        <w:t>年，教研室根据年初工作规划及财政预算计划，积极履职、强化管理，较好的完成了年度绩效目标。通过加强预算收支管理、不断建立健全内部管理制度、梳理内部管理流程，先后制定了《苏州市技工教育教研室经费审批管理制度》、《苏州市技工教育教研室日常公用及人员经费报销管理制度》、《苏州市技工教育教研室固定资产管理制度》等内部控制制度，部门整体支出管理情况良好。预算管理方面，支出总额控制在预算总额以内，预算执</w:t>
      </w:r>
      <w:r>
        <w:rPr>
          <w:rFonts w:ascii="宋体" w:hAnsi="宋体" w:cs="宋体" w:hint="eastAsia"/>
          <w:sz w:val="24"/>
        </w:rPr>
        <w:t>行率达到</w:t>
      </w:r>
      <w:r>
        <w:rPr>
          <w:rFonts w:ascii="宋体" w:hAnsi="宋体" w:cs="宋体" w:hint="eastAsia"/>
          <w:sz w:val="24"/>
        </w:rPr>
        <w:t xml:space="preserve">93.4% </w:t>
      </w:r>
      <w:r>
        <w:rPr>
          <w:rFonts w:ascii="宋体" w:hAnsi="宋体" w:cs="宋体" w:hint="eastAsia"/>
          <w:sz w:val="24"/>
        </w:rPr>
        <w:t>，预算执行总体较为有效。资金管理方面，资金管理和使用符合财务管理制度规定，资金使用审批手续完备，符合相关财务制度；资产管理方面，定期进行资产盘点和资产清理，固定资产处置流程规范，总体管理情况良好。（四）各项工作具体成效公开</w:t>
      </w:r>
      <w:r>
        <w:rPr>
          <w:rFonts w:ascii="宋体" w:hAnsi="宋体" w:cs="宋体" w:hint="eastAsia"/>
          <w:sz w:val="24"/>
        </w:rPr>
        <w:t>1</w:t>
      </w:r>
      <w:r>
        <w:rPr>
          <w:rFonts w:ascii="宋体" w:hAnsi="宋体" w:cs="宋体" w:hint="eastAsia"/>
          <w:sz w:val="24"/>
        </w:rPr>
        <w:t>．坚持改革创新，主动求变，推动技工院校高质量发展。强化全市技工院校内涵建设，支持培训教学基础建设，加强常态化监管，加速构建人才紧密对接产业的培养格局。完成</w:t>
      </w:r>
      <w:r>
        <w:rPr>
          <w:rFonts w:ascii="宋体" w:hAnsi="宋体" w:cs="宋体" w:hint="eastAsia"/>
          <w:sz w:val="24"/>
        </w:rPr>
        <w:t>2023</w:t>
      </w:r>
      <w:r>
        <w:rPr>
          <w:rFonts w:ascii="宋体" w:hAnsi="宋体" w:cs="宋体" w:hint="eastAsia"/>
          <w:sz w:val="24"/>
        </w:rPr>
        <w:t>年度招生工作，其中全日制学生</w:t>
      </w:r>
      <w:r>
        <w:rPr>
          <w:rFonts w:ascii="宋体" w:hAnsi="宋体" w:cs="宋体" w:hint="eastAsia"/>
          <w:sz w:val="24"/>
        </w:rPr>
        <w:t>9668</w:t>
      </w:r>
      <w:r>
        <w:rPr>
          <w:rFonts w:ascii="宋体" w:hAnsi="宋体" w:cs="宋体" w:hint="eastAsia"/>
          <w:sz w:val="24"/>
        </w:rPr>
        <w:t>人，非全日制</w:t>
      </w:r>
      <w:r>
        <w:rPr>
          <w:rFonts w:ascii="宋体" w:hAnsi="宋体" w:cs="宋体" w:hint="eastAsia"/>
          <w:sz w:val="24"/>
        </w:rPr>
        <w:t>2448</w:t>
      </w:r>
      <w:r>
        <w:rPr>
          <w:rFonts w:ascii="宋体" w:hAnsi="宋体" w:cs="宋体" w:hint="eastAsia"/>
          <w:sz w:val="24"/>
        </w:rPr>
        <w:t>人。动态调整新增社会急需、产业匹配的专业，紧密结合</w:t>
      </w:r>
      <w:r>
        <w:rPr>
          <w:rFonts w:ascii="宋体" w:hAnsi="宋体" w:cs="宋体" w:hint="eastAsia"/>
          <w:sz w:val="24"/>
        </w:rPr>
        <w:t>产业加强优势专业打造，加速数字技能人才供给，在技工院校创新打造</w:t>
      </w:r>
      <w:r>
        <w:rPr>
          <w:rFonts w:ascii="宋体" w:hAnsi="宋体" w:cs="宋体" w:hint="eastAsia"/>
          <w:sz w:val="24"/>
        </w:rPr>
        <w:t>4</w:t>
      </w:r>
      <w:r>
        <w:rPr>
          <w:rFonts w:ascii="宋体" w:hAnsi="宋体" w:cs="宋体" w:hint="eastAsia"/>
          <w:sz w:val="24"/>
        </w:rPr>
        <w:t>家数字技能融合培育中心，深化数字专业群建设，加强与华为等龙头企业合作，新增数字孪生技术应用等</w:t>
      </w:r>
      <w:r>
        <w:rPr>
          <w:rFonts w:ascii="宋体" w:hAnsi="宋体" w:cs="宋体" w:hint="eastAsia"/>
          <w:sz w:val="24"/>
        </w:rPr>
        <w:t>2</w:t>
      </w:r>
      <w:r>
        <w:rPr>
          <w:rFonts w:ascii="宋体" w:hAnsi="宋体" w:cs="宋体" w:hint="eastAsia"/>
          <w:sz w:val="24"/>
        </w:rPr>
        <w:t>个数字技能类专业，建设数字技能类专业</w:t>
      </w:r>
      <w:r>
        <w:rPr>
          <w:rFonts w:ascii="宋体" w:hAnsi="宋体" w:cs="宋体" w:hint="eastAsia"/>
          <w:sz w:val="24"/>
        </w:rPr>
        <w:t>26</w:t>
      </w:r>
      <w:r>
        <w:rPr>
          <w:rFonts w:ascii="宋体" w:hAnsi="宋体" w:cs="宋体" w:hint="eastAsia"/>
          <w:sz w:val="24"/>
        </w:rPr>
        <w:t>个。苏州市吴中技师学院获评</w:t>
      </w:r>
      <w:r>
        <w:rPr>
          <w:rFonts w:ascii="宋体" w:hAnsi="宋体" w:cs="宋体" w:hint="eastAsia"/>
          <w:sz w:val="24"/>
        </w:rPr>
        <w:t>2023</w:t>
      </w:r>
      <w:r>
        <w:rPr>
          <w:rFonts w:ascii="宋体" w:hAnsi="宋体" w:cs="宋体" w:hint="eastAsia"/>
          <w:sz w:val="24"/>
        </w:rPr>
        <w:t>年江苏省高水平技工院校。江苏省苏州技师学院轨道交通专业获评江苏省技工院校品牌特色专业群，</w:t>
      </w:r>
      <w:r>
        <w:rPr>
          <w:rFonts w:ascii="宋体" w:hAnsi="宋体" w:cs="宋体" w:hint="eastAsia"/>
          <w:sz w:val="24"/>
        </w:rPr>
        <w:t>2</w:t>
      </w:r>
      <w:r>
        <w:rPr>
          <w:rFonts w:ascii="宋体" w:hAnsi="宋体" w:cs="宋体" w:hint="eastAsia"/>
          <w:sz w:val="24"/>
        </w:rPr>
        <w:t>位教师获评一体化教学名师工作室项目领办人。常态化开展规范管理排查</w:t>
      </w:r>
      <w:r>
        <w:rPr>
          <w:rFonts w:ascii="宋体" w:hAnsi="宋体" w:cs="宋体" w:hint="eastAsia"/>
          <w:sz w:val="24"/>
        </w:rPr>
        <w:t>,</w:t>
      </w:r>
      <w:r>
        <w:rPr>
          <w:rFonts w:ascii="宋体" w:hAnsi="宋体" w:cs="宋体" w:hint="eastAsia"/>
          <w:sz w:val="24"/>
        </w:rPr>
        <w:t>先后组织开展技工院校办学水平评估、学生实习工作排查、安全隐患整治排查等专项工作，压紧压实监管责任，切实保障师生生命安全健康，</w:t>
      </w:r>
      <w:r>
        <w:rPr>
          <w:rFonts w:ascii="宋体" w:hAnsi="宋体" w:cs="宋体" w:hint="eastAsia"/>
          <w:sz w:val="24"/>
        </w:rPr>
        <w:t>被市公安局评为“</w:t>
      </w:r>
      <w:r>
        <w:rPr>
          <w:rFonts w:ascii="宋体" w:hAnsi="宋体" w:cs="宋体" w:hint="eastAsia"/>
          <w:sz w:val="24"/>
        </w:rPr>
        <w:t>2023</w:t>
      </w:r>
      <w:r>
        <w:rPr>
          <w:rFonts w:ascii="宋体" w:hAnsi="宋体" w:cs="宋体" w:hint="eastAsia"/>
          <w:sz w:val="24"/>
        </w:rPr>
        <w:t>年苏州市内部治安保卫工作优秀集体”。</w:t>
      </w:r>
      <w:r>
        <w:rPr>
          <w:rFonts w:ascii="宋体" w:hAnsi="宋体" w:cs="宋体" w:hint="eastAsia"/>
          <w:sz w:val="24"/>
        </w:rPr>
        <w:t>2</w:t>
      </w:r>
      <w:r>
        <w:rPr>
          <w:rFonts w:ascii="宋体" w:hAnsi="宋体" w:cs="宋体" w:hint="eastAsia"/>
          <w:sz w:val="24"/>
        </w:rPr>
        <w:t>．坚持以研促教、为教兴研，务实开展教学教研活动。进一步整合资源优化结构，积极发挥先进制造中心教研组、现代服务中心教研组、素质中心教研组三</w:t>
      </w:r>
      <w:r>
        <w:rPr>
          <w:rFonts w:ascii="宋体" w:hAnsi="宋体" w:cs="宋体" w:hint="eastAsia"/>
          <w:sz w:val="24"/>
        </w:rPr>
        <w:lastRenderedPageBreak/>
        <w:t>大组别中心组优势，接参与指导开展形式多样的教研活动。举办首届苏锡常三地技工院校骨干教师师资研修活动，</w:t>
      </w:r>
      <w:r>
        <w:rPr>
          <w:rFonts w:ascii="宋体" w:hAnsi="宋体" w:cs="宋体" w:hint="eastAsia"/>
          <w:sz w:val="24"/>
        </w:rPr>
        <w:t>35</w:t>
      </w:r>
      <w:r>
        <w:rPr>
          <w:rFonts w:ascii="宋体" w:hAnsi="宋体" w:cs="宋体" w:hint="eastAsia"/>
          <w:sz w:val="24"/>
        </w:rPr>
        <w:t>所技工院校</w:t>
      </w:r>
      <w:r>
        <w:rPr>
          <w:rFonts w:ascii="宋体" w:hAnsi="宋体" w:cs="宋体" w:hint="eastAsia"/>
          <w:sz w:val="24"/>
        </w:rPr>
        <w:t>147</w:t>
      </w:r>
      <w:r>
        <w:rPr>
          <w:rFonts w:ascii="宋体" w:hAnsi="宋体" w:cs="宋体" w:hint="eastAsia"/>
          <w:sz w:val="24"/>
        </w:rPr>
        <w:t>名骨干教师参训。首次引入“产学研融合、理实技并举理念”，全省率先举办苏州市技工院校先进制造专业教师全能赛。全市技工院校师生在各类省级及以上竞赛获奖</w:t>
      </w:r>
      <w:r>
        <w:rPr>
          <w:rFonts w:ascii="宋体" w:hAnsi="宋体" w:cs="宋体" w:hint="eastAsia"/>
          <w:sz w:val="24"/>
        </w:rPr>
        <w:t>149</w:t>
      </w:r>
      <w:r>
        <w:rPr>
          <w:rFonts w:ascii="宋体" w:hAnsi="宋体" w:cs="宋体" w:hint="eastAsia"/>
          <w:sz w:val="24"/>
        </w:rPr>
        <w:t>项。组织</w:t>
      </w:r>
      <w:r>
        <w:rPr>
          <w:rFonts w:ascii="宋体" w:hAnsi="宋体" w:cs="宋体" w:hint="eastAsia"/>
          <w:sz w:val="24"/>
        </w:rPr>
        <w:t>2022</w:t>
      </w:r>
      <w:r>
        <w:rPr>
          <w:rFonts w:ascii="宋体" w:hAnsi="宋体" w:cs="宋体" w:hint="eastAsia"/>
          <w:sz w:val="24"/>
        </w:rPr>
        <w:t>年度全市技工院校进行优秀论</w:t>
      </w:r>
      <w:r>
        <w:rPr>
          <w:rFonts w:ascii="宋体" w:hAnsi="宋体" w:cs="宋体" w:hint="eastAsia"/>
          <w:sz w:val="24"/>
        </w:rPr>
        <w:t>文、教案专项评选。推荐全市优秀教师参加第二届江苏省技工院校教师职业能力大赛，</w:t>
      </w:r>
      <w:r>
        <w:rPr>
          <w:rFonts w:ascii="宋体" w:hAnsi="宋体" w:cs="宋体" w:hint="eastAsia"/>
          <w:sz w:val="24"/>
        </w:rPr>
        <w:t xml:space="preserve"> 2</w:t>
      </w:r>
      <w:r>
        <w:rPr>
          <w:rFonts w:ascii="宋体" w:hAnsi="宋体" w:cs="宋体" w:hint="eastAsia"/>
          <w:sz w:val="24"/>
        </w:rPr>
        <w:t>名教师荣获二等奖，</w:t>
      </w:r>
      <w:r>
        <w:rPr>
          <w:rFonts w:ascii="宋体" w:hAnsi="宋体" w:cs="宋体" w:hint="eastAsia"/>
          <w:sz w:val="24"/>
        </w:rPr>
        <w:t xml:space="preserve"> 4</w:t>
      </w:r>
      <w:r>
        <w:rPr>
          <w:rFonts w:ascii="宋体" w:hAnsi="宋体" w:cs="宋体" w:hint="eastAsia"/>
          <w:sz w:val="24"/>
        </w:rPr>
        <w:t>名教师荣获三等奖并认定为省级专业带头人。</w:t>
      </w:r>
      <w:r>
        <w:rPr>
          <w:rFonts w:ascii="宋体" w:hAnsi="宋体" w:cs="宋体" w:hint="eastAsia"/>
          <w:sz w:val="24"/>
        </w:rPr>
        <w:t>3</w:t>
      </w:r>
      <w:r>
        <w:rPr>
          <w:rFonts w:ascii="宋体" w:hAnsi="宋体" w:cs="宋体" w:hint="eastAsia"/>
          <w:sz w:val="24"/>
        </w:rPr>
        <w:t>．坚持理念领先，教育创新，有效深化课堂教学改革。机械工业苏州高级技工学校等</w:t>
      </w:r>
      <w:r>
        <w:rPr>
          <w:rFonts w:ascii="宋体" w:hAnsi="宋体" w:cs="宋体" w:hint="eastAsia"/>
          <w:sz w:val="24"/>
        </w:rPr>
        <w:t>3</w:t>
      </w:r>
      <w:r>
        <w:rPr>
          <w:rFonts w:ascii="宋体" w:hAnsi="宋体" w:cs="宋体" w:hint="eastAsia"/>
          <w:sz w:val="24"/>
        </w:rPr>
        <w:t>所技工院校入选全国技工院校工学一体化第二阶段建设院校。制定全市技工院校年度的主要工作，做好教学计划编制的指导、审核及上报工作。组织</w:t>
      </w:r>
      <w:r>
        <w:rPr>
          <w:rFonts w:ascii="宋体" w:hAnsi="宋体" w:cs="宋体" w:hint="eastAsia"/>
          <w:sz w:val="24"/>
        </w:rPr>
        <w:t>11</w:t>
      </w:r>
      <w:r>
        <w:rPr>
          <w:rFonts w:ascii="宋体" w:hAnsi="宋体" w:cs="宋体" w:hint="eastAsia"/>
          <w:sz w:val="24"/>
        </w:rPr>
        <w:t>所学校</w:t>
      </w:r>
      <w:r>
        <w:rPr>
          <w:rFonts w:ascii="宋体" w:hAnsi="宋体" w:cs="宋体" w:hint="eastAsia"/>
          <w:sz w:val="24"/>
        </w:rPr>
        <w:t>42</w:t>
      </w:r>
      <w:r>
        <w:rPr>
          <w:rFonts w:ascii="宋体" w:hAnsi="宋体" w:cs="宋体" w:hint="eastAsia"/>
          <w:sz w:val="24"/>
        </w:rPr>
        <w:t>门课程教学示范课观摩交流活动，近</w:t>
      </w:r>
      <w:r>
        <w:rPr>
          <w:rFonts w:ascii="宋体" w:hAnsi="宋体" w:cs="宋体" w:hint="eastAsia"/>
          <w:sz w:val="24"/>
        </w:rPr>
        <w:t>300</w:t>
      </w:r>
      <w:r>
        <w:rPr>
          <w:rFonts w:ascii="宋体" w:hAnsi="宋体" w:cs="宋体" w:hint="eastAsia"/>
          <w:sz w:val="24"/>
        </w:rPr>
        <w:t>名教师参加观摩学习。组织各院校参加省中心教研组的各项教研活动，与省内各市教育教研部门一起探讨课程体系的新标准，</w:t>
      </w:r>
      <w:r>
        <w:rPr>
          <w:rFonts w:ascii="宋体" w:hAnsi="宋体" w:cs="宋体" w:hint="eastAsia"/>
          <w:sz w:val="24"/>
        </w:rPr>
        <w:t>教改的新思路，对全省优秀教育成果进行评鉴。</w:t>
      </w:r>
      <w:r>
        <w:rPr>
          <w:rFonts w:ascii="宋体" w:hAnsi="宋体" w:cs="宋体" w:hint="eastAsia"/>
          <w:sz w:val="24"/>
        </w:rPr>
        <w:t>4</w:t>
      </w:r>
      <w:r>
        <w:rPr>
          <w:rFonts w:ascii="宋体" w:hAnsi="宋体" w:cs="宋体" w:hint="eastAsia"/>
          <w:sz w:val="24"/>
        </w:rPr>
        <w:t>．以培养激励骨干教师为抓手，不断提高技工院校师资队伍质量。进一步完善切实可行的培训计划和政策措施，本年度共培训教师</w:t>
      </w:r>
      <w:r>
        <w:rPr>
          <w:rFonts w:ascii="宋体" w:hAnsi="宋体" w:cs="宋体" w:hint="eastAsia"/>
          <w:sz w:val="24"/>
        </w:rPr>
        <w:t>1000</w:t>
      </w:r>
      <w:r>
        <w:rPr>
          <w:rFonts w:ascii="宋体" w:hAnsi="宋体" w:cs="宋体" w:hint="eastAsia"/>
          <w:sz w:val="24"/>
        </w:rPr>
        <w:t>多人次，从而引导广大教师自觉更新知识结构和技能操作水平。提升师资队伍建设水平，</w:t>
      </w:r>
      <w:r>
        <w:rPr>
          <w:rFonts w:ascii="宋体" w:hAnsi="宋体" w:cs="宋体" w:hint="eastAsia"/>
          <w:sz w:val="24"/>
        </w:rPr>
        <w:t>2</w:t>
      </w:r>
      <w:r>
        <w:rPr>
          <w:rFonts w:ascii="宋体" w:hAnsi="宋体" w:cs="宋体" w:hint="eastAsia"/>
          <w:sz w:val="24"/>
        </w:rPr>
        <w:t>位教师获评省一体化教学名师工作室项目领办人；</w:t>
      </w:r>
      <w:r>
        <w:rPr>
          <w:rFonts w:ascii="宋体" w:hAnsi="宋体" w:cs="宋体" w:hint="eastAsia"/>
          <w:sz w:val="24"/>
        </w:rPr>
        <w:t>2</w:t>
      </w:r>
      <w:r>
        <w:rPr>
          <w:rFonts w:ascii="宋体" w:hAnsi="宋体" w:cs="宋体" w:hint="eastAsia"/>
          <w:sz w:val="24"/>
        </w:rPr>
        <w:t>位教师获评“苏州最美职教人”，</w:t>
      </w:r>
      <w:r>
        <w:rPr>
          <w:rFonts w:ascii="宋体" w:hAnsi="宋体" w:cs="宋体" w:hint="eastAsia"/>
          <w:sz w:val="24"/>
        </w:rPr>
        <w:t>4</w:t>
      </w:r>
      <w:r>
        <w:rPr>
          <w:rFonts w:ascii="宋体" w:hAnsi="宋体" w:cs="宋体" w:hint="eastAsia"/>
          <w:sz w:val="24"/>
        </w:rPr>
        <w:t>人获评“苏州市优秀教育工作者”、</w:t>
      </w:r>
      <w:r>
        <w:rPr>
          <w:rFonts w:ascii="宋体" w:hAnsi="宋体" w:cs="宋体" w:hint="eastAsia"/>
          <w:sz w:val="24"/>
        </w:rPr>
        <w:t>11</w:t>
      </w:r>
      <w:r>
        <w:rPr>
          <w:rFonts w:ascii="宋体" w:hAnsi="宋体" w:cs="宋体" w:hint="eastAsia"/>
          <w:sz w:val="24"/>
        </w:rPr>
        <w:t>人获评“苏州市优秀教师”、</w:t>
      </w:r>
      <w:r>
        <w:rPr>
          <w:rFonts w:ascii="宋体" w:hAnsi="宋体" w:cs="宋体" w:hint="eastAsia"/>
          <w:sz w:val="24"/>
        </w:rPr>
        <w:t>7</w:t>
      </w:r>
      <w:r>
        <w:rPr>
          <w:rFonts w:ascii="宋体" w:hAnsi="宋体" w:cs="宋体" w:hint="eastAsia"/>
          <w:sz w:val="24"/>
        </w:rPr>
        <w:t>人获评“苏州市优秀班主任”、</w:t>
      </w:r>
      <w:r>
        <w:rPr>
          <w:rFonts w:ascii="宋体" w:hAnsi="宋体" w:cs="宋体" w:hint="eastAsia"/>
          <w:sz w:val="24"/>
        </w:rPr>
        <w:t>12</w:t>
      </w:r>
      <w:r>
        <w:rPr>
          <w:rFonts w:ascii="宋体" w:hAnsi="宋体" w:cs="宋体" w:hint="eastAsia"/>
          <w:sz w:val="24"/>
        </w:rPr>
        <w:t>人获评“市教学名师”、</w:t>
      </w:r>
      <w:r>
        <w:rPr>
          <w:rFonts w:ascii="宋体" w:hAnsi="宋体" w:cs="宋体" w:hint="eastAsia"/>
          <w:sz w:val="24"/>
        </w:rPr>
        <w:t>16</w:t>
      </w:r>
      <w:r>
        <w:rPr>
          <w:rFonts w:ascii="宋体" w:hAnsi="宋体" w:cs="宋体" w:hint="eastAsia"/>
          <w:sz w:val="24"/>
        </w:rPr>
        <w:t>人获评“市专业带头人”、</w:t>
      </w:r>
      <w:r>
        <w:rPr>
          <w:rFonts w:ascii="宋体" w:hAnsi="宋体" w:cs="宋体" w:hint="eastAsia"/>
          <w:sz w:val="24"/>
        </w:rPr>
        <w:t>19</w:t>
      </w:r>
      <w:r>
        <w:rPr>
          <w:rFonts w:ascii="宋体" w:hAnsi="宋体" w:cs="宋体" w:hint="eastAsia"/>
          <w:sz w:val="24"/>
        </w:rPr>
        <w:t>人获评“教坛新秀”。</w:t>
      </w:r>
      <w:r>
        <w:rPr>
          <w:rFonts w:ascii="宋体" w:hAnsi="宋体" w:cs="宋体" w:hint="eastAsia"/>
          <w:sz w:val="24"/>
        </w:rPr>
        <w:t>5</w:t>
      </w:r>
      <w:r>
        <w:rPr>
          <w:rFonts w:ascii="宋体" w:hAnsi="宋体" w:cs="宋体" w:hint="eastAsia"/>
          <w:sz w:val="24"/>
        </w:rPr>
        <w:t>．以积极组织各项</w:t>
      </w:r>
      <w:r>
        <w:rPr>
          <w:rFonts w:ascii="宋体" w:hAnsi="宋体" w:cs="宋体" w:hint="eastAsia"/>
          <w:sz w:val="24"/>
        </w:rPr>
        <w:t>活动为抓手，不断提升技工院校学生综合素质。组织做好全市技工院校“三好学生”、“优秀学生干部”、“先进集体”评选工作及表彰活动。组织参加市教育局第十五届“三语”比赛，并荣获团体、个人双特等奖的好成绩。开展全市技工院校第九届书香文化节活动，组织学生男子篮球赛、羽毛球赛、汉字书写等比赛。日常维护全市技工院校学生学籍管理及学生资助工作。</w:t>
      </w:r>
    </w:p>
    <w:p w:rsidR="00A33FC3" w:rsidRDefault="00F9155C">
      <w:pPr>
        <w:spacing w:line="360" w:lineRule="auto"/>
        <w:ind w:left="600"/>
        <w:rPr>
          <w:rFonts w:ascii="黑体" w:eastAsia="黑体" w:hAnsi="黑体"/>
          <w:sz w:val="30"/>
        </w:rPr>
      </w:pPr>
      <w:r>
        <w:rPr>
          <w:rFonts w:ascii="黑体" w:eastAsia="黑体" w:hAnsi="黑体" w:hint="eastAsia"/>
          <w:sz w:val="30"/>
        </w:rPr>
        <w:t>五、部门</w:t>
      </w:r>
      <w:r>
        <w:rPr>
          <w:rFonts w:ascii="黑体" w:eastAsia="黑体" w:hAnsi="黑体"/>
          <w:sz w:val="30"/>
        </w:rPr>
        <w:t>（</w:t>
      </w:r>
      <w:r>
        <w:rPr>
          <w:rFonts w:ascii="黑体" w:eastAsia="黑体" w:hAnsi="黑体" w:hint="eastAsia"/>
          <w:sz w:val="30"/>
        </w:rPr>
        <w:t>单位</w:t>
      </w:r>
      <w:r>
        <w:rPr>
          <w:rFonts w:ascii="黑体" w:eastAsia="黑体" w:hAnsi="黑体"/>
          <w:sz w:val="30"/>
        </w:rPr>
        <w:t>）</w:t>
      </w:r>
      <w:r>
        <w:rPr>
          <w:rFonts w:ascii="黑体" w:eastAsia="黑体" w:hAnsi="黑体" w:hint="eastAsia"/>
          <w:sz w:val="30"/>
        </w:rPr>
        <w:t>整体支出绩效中存</w:t>
      </w:r>
      <w:r>
        <w:rPr>
          <w:rFonts w:ascii="黑体" w:eastAsia="黑体" w:hAnsi="黑体"/>
          <w:sz w:val="30"/>
        </w:rPr>
        <w:t>在问题</w:t>
      </w:r>
      <w:r>
        <w:rPr>
          <w:rFonts w:ascii="黑体" w:eastAsia="黑体" w:hAnsi="黑体" w:hint="eastAsia"/>
          <w:sz w:val="30"/>
        </w:rPr>
        <w:t>及</w:t>
      </w:r>
      <w:r>
        <w:rPr>
          <w:rFonts w:ascii="黑体" w:eastAsia="黑体" w:hAnsi="黑体"/>
          <w:sz w:val="30"/>
        </w:rPr>
        <w:t>改进措施</w:t>
      </w:r>
    </w:p>
    <w:p w:rsidR="00A33FC3" w:rsidRDefault="00F9155C">
      <w:pPr>
        <w:spacing w:line="360" w:lineRule="auto"/>
        <w:ind w:firstLineChars="200" w:firstLine="480"/>
        <w:rPr>
          <w:rFonts w:ascii="宋体" w:hAnsi="宋体" w:cs="宋体"/>
          <w:sz w:val="24"/>
        </w:rPr>
      </w:pPr>
      <w:r>
        <w:rPr>
          <w:rFonts w:ascii="宋体" w:hAnsi="宋体" w:cs="宋体" w:hint="eastAsia"/>
          <w:sz w:val="24"/>
        </w:rPr>
        <w:t>（一）存在问题</w:t>
      </w:r>
      <w:r>
        <w:rPr>
          <w:rFonts w:ascii="宋体" w:hAnsi="宋体" w:cs="宋体" w:hint="eastAsia"/>
          <w:sz w:val="24"/>
        </w:rPr>
        <w:t>1</w:t>
      </w:r>
      <w:r>
        <w:rPr>
          <w:rFonts w:ascii="宋体" w:hAnsi="宋体" w:cs="宋体" w:hint="eastAsia"/>
          <w:sz w:val="24"/>
        </w:rPr>
        <w:t>．单位预算绩效管理意识有待进一步加强，对项目绩效目标的设定和各项指标的理解、学习有待进一步强化。</w:t>
      </w:r>
      <w:r>
        <w:rPr>
          <w:rFonts w:ascii="宋体" w:hAnsi="宋体" w:cs="宋体" w:hint="eastAsia"/>
          <w:sz w:val="24"/>
        </w:rPr>
        <w:t>2</w:t>
      </w:r>
      <w:r>
        <w:rPr>
          <w:rFonts w:ascii="宋体" w:hAnsi="宋体" w:cs="宋体" w:hint="eastAsia"/>
          <w:sz w:val="24"/>
        </w:rPr>
        <w:t>．预算编制和执行</w:t>
      </w:r>
      <w:r>
        <w:rPr>
          <w:rFonts w:ascii="宋体" w:hAnsi="宋体" w:cs="宋体" w:hint="eastAsia"/>
          <w:sz w:val="24"/>
        </w:rPr>
        <w:t>存在差异，部分项目预算因教研室人员少等客观原因未能完全使用。（二）改进措施针对部门整体支出绩效评价工作中存在的问题，教研室将从几个方面做出改进，提高部门整体支出绩效评价的质量：</w:t>
      </w:r>
      <w:r>
        <w:rPr>
          <w:rFonts w:ascii="宋体" w:hAnsi="宋体" w:cs="宋体" w:hint="eastAsia"/>
          <w:sz w:val="24"/>
        </w:rPr>
        <w:t>1</w:t>
      </w:r>
      <w:r>
        <w:rPr>
          <w:rFonts w:ascii="宋体" w:hAnsi="宋体" w:cs="宋体" w:hint="eastAsia"/>
          <w:sz w:val="24"/>
        </w:rPr>
        <w:t>．提高认识，突出重点。提高对预算绩效管理的认识，充分理解财政绩效评价指标体系，注重绩效目标、评价指标的关联性，更加科学合理地确定部门绩效目标和评价目标。</w:t>
      </w:r>
      <w:r>
        <w:rPr>
          <w:rFonts w:ascii="宋体" w:hAnsi="宋体" w:cs="宋体" w:hint="eastAsia"/>
          <w:sz w:val="24"/>
        </w:rPr>
        <w:t>2</w:t>
      </w:r>
      <w:r>
        <w:rPr>
          <w:rFonts w:ascii="宋体" w:hAnsi="宋体" w:cs="宋体" w:hint="eastAsia"/>
          <w:sz w:val="24"/>
        </w:rPr>
        <w:t>．强化管理，规范行为。强化部门预算约束细化预算编制，严格预算执</w:t>
      </w:r>
      <w:r>
        <w:rPr>
          <w:rFonts w:ascii="宋体" w:hAnsi="宋体" w:cs="宋体" w:hint="eastAsia"/>
          <w:sz w:val="24"/>
        </w:rPr>
        <w:lastRenderedPageBreak/>
        <w:t>行，合理制定项目方案和计划，减少预算执行中的项目预算调整和结余；加强预算项目事前、事中、事后管控，做到事前有评估、事中</w:t>
      </w:r>
      <w:r>
        <w:rPr>
          <w:rFonts w:ascii="宋体" w:hAnsi="宋体" w:cs="宋体" w:hint="eastAsia"/>
          <w:sz w:val="24"/>
        </w:rPr>
        <w:t>有监控、事后有评价，并且按预期绩效目标完成程度进行考核；加强项目档案管理，重视绩效信息资料收集，及时、全面、完整归集项目效果资料，充分反映项目实施绩效。</w:t>
      </w:r>
    </w:p>
    <w:p w:rsidR="00A33FC3" w:rsidRDefault="00F9155C">
      <w:pPr>
        <w:spacing w:line="360" w:lineRule="auto"/>
        <w:ind w:left="600"/>
        <w:rPr>
          <w:rFonts w:ascii="黑体" w:eastAsia="黑体" w:hAnsi="黑体"/>
          <w:sz w:val="30"/>
        </w:rPr>
      </w:pPr>
      <w:r>
        <w:rPr>
          <w:rFonts w:ascii="黑体" w:eastAsia="黑体" w:hAnsi="黑体" w:hint="eastAsia"/>
          <w:sz w:val="30"/>
        </w:rPr>
        <w:t>六、</w:t>
      </w:r>
      <w:r>
        <w:rPr>
          <w:rFonts w:ascii="黑体" w:eastAsia="黑体" w:hAnsi="黑体"/>
          <w:sz w:val="30"/>
        </w:rPr>
        <w:t>绩效自评</w:t>
      </w:r>
      <w:r>
        <w:rPr>
          <w:rFonts w:ascii="黑体" w:eastAsia="黑体" w:hAnsi="黑体" w:hint="eastAsia"/>
          <w:sz w:val="30"/>
        </w:rPr>
        <w:t>结果</w:t>
      </w:r>
      <w:r>
        <w:rPr>
          <w:rFonts w:ascii="黑体" w:eastAsia="黑体" w:hAnsi="黑体"/>
          <w:sz w:val="30"/>
        </w:rPr>
        <w:t>拟应用和公开</w:t>
      </w:r>
      <w:r>
        <w:rPr>
          <w:rFonts w:ascii="黑体" w:eastAsia="黑体" w:hAnsi="黑体" w:hint="eastAsia"/>
          <w:sz w:val="30"/>
        </w:rPr>
        <w:t>情况</w:t>
      </w:r>
    </w:p>
    <w:p w:rsidR="00A33FC3" w:rsidRDefault="00F9155C">
      <w:pPr>
        <w:spacing w:line="360" w:lineRule="auto"/>
        <w:ind w:firstLineChars="200" w:firstLine="480"/>
        <w:rPr>
          <w:rFonts w:ascii="宋体" w:hAnsi="宋体" w:cs="宋体"/>
          <w:sz w:val="24"/>
        </w:rPr>
      </w:pPr>
      <w:r>
        <w:rPr>
          <w:rFonts w:ascii="宋体" w:hAnsi="宋体" w:cs="宋体" w:hint="eastAsia"/>
          <w:sz w:val="24"/>
        </w:rPr>
        <w:t>教研室将切实加强绩效评价结果的分析和应用，将评价结果作为本部门进一步完善和改进预算绩效管理的重要依据，并将本次绩效评价结果作为下一年度预算申报的重要参考依据。同时进一步加强预算资金管理，保障资金使用安全，提高资金使用效率，完善内部监督和控制制度，保证资金的合法性、安全性以及财务资料的真实性和完整性，确保部门履职履责效能。苏</w:t>
      </w:r>
      <w:r>
        <w:rPr>
          <w:rFonts w:ascii="宋体" w:hAnsi="宋体" w:cs="宋体" w:hint="eastAsia"/>
          <w:sz w:val="24"/>
        </w:rPr>
        <w:t>州市技工教育教研室依照苏州市财政局及人社主管局的工作要求，完成绩效自评结果的公开工作。</w:t>
      </w:r>
    </w:p>
    <w:p w:rsidR="00A33FC3" w:rsidRDefault="00A33FC3">
      <w:pPr>
        <w:spacing w:line="360" w:lineRule="auto"/>
        <w:rPr>
          <w:rFonts w:ascii="黑体" w:eastAsia="黑体" w:hAnsi="黑体"/>
          <w:sz w:val="30"/>
        </w:rPr>
        <w:sectPr w:rsidR="00A33FC3">
          <w:headerReference w:type="even" r:id="rId7"/>
          <w:headerReference w:type="default" r:id="rId8"/>
          <w:footerReference w:type="even" r:id="rId9"/>
          <w:footerReference w:type="default" r:id="rId10"/>
          <w:pgSz w:w="11907" w:h="16840"/>
          <w:pgMar w:top="1247" w:right="1400" w:bottom="1089" w:left="1559" w:header="851" w:footer="992" w:gutter="0"/>
          <w:paperSrc w:first="15" w:other="15"/>
          <w:cols w:space="720"/>
          <w:docGrid w:type="lines" w:linePitch="312"/>
        </w:sectPr>
      </w:pPr>
    </w:p>
    <w:p w:rsidR="00A33FC3" w:rsidRDefault="00F9155C">
      <w:pPr>
        <w:numPr>
          <w:ilvl w:val="0"/>
          <w:numId w:val="1"/>
        </w:numPr>
        <w:spacing w:line="360" w:lineRule="auto"/>
        <w:ind w:left="600"/>
        <w:rPr>
          <w:rFonts w:ascii="黑体" w:eastAsia="黑体" w:hAnsi="黑体"/>
          <w:sz w:val="30"/>
        </w:rPr>
      </w:pPr>
      <w:r>
        <w:rPr>
          <w:rFonts w:ascii="黑体" w:eastAsia="黑体" w:hAnsi="黑体" w:hint="eastAsia"/>
          <w:sz w:val="30"/>
        </w:rPr>
        <w:lastRenderedPageBreak/>
        <w:t>预算信息</w:t>
      </w:r>
    </w:p>
    <w:p w:rsidR="00A33FC3" w:rsidRDefault="00A33FC3">
      <w:pPr>
        <w:spacing w:line="360" w:lineRule="auto"/>
        <w:ind w:left="600"/>
        <w:rPr>
          <w:rFonts w:ascii="黑体" w:eastAsia="黑体" w:hAnsi="黑体"/>
          <w:sz w:val="30"/>
        </w:rPr>
      </w:pPr>
    </w:p>
    <w:tbl>
      <w:tblPr>
        <w:tblW w:w="14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9"/>
        <w:gridCol w:w="2268"/>
        <w:gridCol w:w="2268"/>
        <w:gridCol w:w="2268"/>
        <w:gridCol w:w="2268"/>
        <w:gridCol w:w="2268"/>
      </w:tblGrid>
      <w:tr w:rsidR="00A33FC3">
        <w:trPr>
          <w:trHeight w:val="339"/>
        </w:trPr>
        <w:tc>
          <w:tcPr>
            <w:tcW w:w="3079" w:type="dxa"/>
            <w:shd w:val="clear" w:color="000000" w:fill="BFBFBF"/>
            <w:vAlign w:val="center"/>
          </w:tcPr>
          <w:p w:rsidR="00A33FC3" w:rsidRDefault="00F9155C">
            <w:pPr>
              <w:widowControl/>
              <w:jc w:val="center"/>
              <w:rPr>
                <w:rFonts w:ascii="宋体" w:hAnsi="宋体" w:cs="宋体"/>
                <w:b/>
                <w:bCs/>
                <w:kern w:val="0"/>
                <w:sz w:val="24"/>
              </w:rPr>
            </w:pPr>
            <w:r>
              <w:rPr>
                <w:rFonts w:ascii="宋体" w:hAnsi="宋体" w:cs="宋体" w:hint="eastAsia"/>
                <w:b/>
                <w:bCs/>
                <w:kern w:val="0"/>
                <w:sz w:val="24"/>
              </w:rPr>
              <w:t>本年度预算资金（万元）</w:t>
            </w:r>
          </w:p>
        </w:tc>
        <w:tc>
          <w:tcPr>
            <w:tcW w:w="2268" w:type="dxa"/>
            <w:shd w:val="clear" w:color="000000" w:fill="BFBFBF"/>
            <w:vAlign w:val="center"/>
          </w:tcPr>
          <w:p w:rsidR="00A33FC3" w:rsidRDefault="00F9155C">
            <w:pPr>
              <w:widowControl/>
              <w:jc w:val="center"/>
              <w:rPr>
                <w:rFonts w:ascii="宋体" w:hAnsi="宋体" w:cs="宋体"/>
                <w:b/>
                <w:bCs/>
                <w:kern w:val="0"/>
                <w:sz w:val="24"/>
              </w:rPr>
            </w:pPr>
            <w:r>
              <w:rPr>
                <w:rFonts w:ascii="宋体" w:hAnsi="宋体" w:cs="宋体" w:hint="eastAsia"/>
                <w:b/>
                <w:bCs/>
                <w:kern w:val="0"/>
                <w:sz w:val="24"/>
              </w:rPr>
              <w:t>年初预算数（万元）</w:t>
            </w:r>
          </w:p>
        </w:tc>
        <w:tc>
          <w:tcPr>
            <w:tcW w:w="2268" w:type="dxa"/>
            <w:shd w:val="clear" w:color="000000" w:fill="BFBFBF"/>
            <w:vAlign w:val="center"/>
          </w:tcPr>
          <w:p w:rsidR="00A33FC3" w:rsidRDefault="00F9155C">
            <w:pPr>
              <w:widowControl/>
              <w:jc w:val="center"/>
              <w:rPr>
                <w:rFonts w:ascii="宋体" w:hAnsi="宋体" w:cs="宋体"/>
                <w:b/>
                <w:bCs/>
                <w:kern w:val="0"/>
                <w:sz w:val="24"/>
              </w:rPr>
            </w:pPr>
            <w:r>
              <w:rPr>
                <w:rFonts w:ascii="宋体" w:hAnsi="宋体" w:cs="宋体" w:hint="eastAsia"/>
                <w:b/>
                <w:bCs/>
                <w:kern w:val="0"/>
                <w:sz w:val="24"/>
              </w:rPr>
              <w:t>上年度结转及当年预算追加追减数</w:t>
            </w:r>
            <w:r>
              <w:rPr>
                <w:rFonts w:ascii="宋体" w:hAnsi="宋体" w:cs="宋体" w:hint="eastAsia"/>
                <w:b/>
                <w:bCs/>
                <w:kern w:val="0"/>
                <w:sz w:val="24"/>
              </w:rPr>
              <w:t>(</w:t>
            </w:r>
            <w:r>
              <w:rPr>
                <w:rFonts w:ascii="宋体" w:hAnsi="宋体" w:cs="宋体" w:hint="eastAsia"/>
                <w:b/>
                <w:bCs/>
                <w:kern w:val="0"/>
                <w:sz w:val="24"/>
              </w:rPr>
              <w:t>万元）</w:t>
            </w:r>
          </w:p>
        </w:tc>
        <w:tc>
          <w:tcPr>
            <w:tcW w:w="2268" w:type="dxa"/>
            <w:shd w:val="clear" w:color="000000" w:fill="BFBFBF"/>
            <w:vAlign w:val="center"/>
          </w:tcPr>
          <w:p w:rsidR="00A33FC3" w:rsidRDefault="00F9155C">
            <w:pPr>
              <w:widowControl/>
              <w:jc w:val="center"/>
              <w:rPr>
                <w:rFonts w:ascii="宋体" w:hAnsi="宋体" w:cs="宋体"/>
                <w:b/>
                <w:bCs/>
                <w:kern w:val="0"/>
                <w:sz w:val="24"/>
              </w:rPr>
            </w:pPr>
            <w:r>
              <w:rPr>
                <w:rFonts w:ascii="宋体" w:hAnsi="宋体" w:cs="宋体" w:hint="eastAsia"/>
                <w:b/>
                <w:bCs/>
                <w:kern w:val="0"/>
                <w:sz w:val="24"/>
              </w:rPr>
              <w:t>调整预算数（万元）</w:t>
            </w:r>
          </w:p>
        </w:tc>
        <w:tc>
          <w:tcPr>
            <w:tcW w:w="2268" w:type="dxa"/>
            <w:shd w:val="clear" w:color="000000" w:fill="BFBFBF"/>
            <w:vAlign w:val="center"/>
          </w:tcPr>
          <w:p w:rsidR="00A33FC3" w:rsidRDefault="00F9155C">
            <w:pPr>
              <w:widowControl/>
              <w:jc w:val="center"/>
              <w:rPr>
                <w:rFonts w:ascii="宋体" w:hAnsi="宋体" w:cs="宋体"/>
                <w:b/>
                <w:bCs/>
                <w:kern w:val="0"/>
                <w:sz w:val="24"/>
              </w:rPr>
            </w:pPr>
            <w:r>
              <w:rPr>
                <w:rFonts w:ascii="宋体" w:hAnsi="宋体" w:cs="宋体" w:hint="eastAsia"/>
                <w:b/>
                <w:bCs/>
                <w:kern w:val="0"/>
                <w:sz w:val="24"/>
              </w:rPr>
              <w:t>实际支出数（万元）</w:t>
            </w:r>
          </w:p>
        </w:tc>
        <w:tc>
          <w:tcPr>
            <w:tcW w:w="2268" w:type="dxa"/>
            <w:shd w:val="clear" w:color="000000" w:fill="BFBFBF"/>
            <w:vAlign w:val="center"/>
          </w:tcPr>
          <w:p w:rsidR="00A33FC3" w:rsidRDefault="00F9155C">
            <w:pPr>
              <w:widowControl/>
              <w:jc w:val="center"/>
              <w:rPr>
                <w:rFonts w:ascii="宋体" w:hAnsi="宋体" w:cs="宋体"/>
                <w:b/>
                <w:bCs/>
                <w:kern w:val="0"/>
                <w:sz w:val="24"/>
              </w:rPr>
            </w:pPr>
            <w:r>
              <w:rPr>
                <w:rFonts w:ascii="宋体" w:hAnsi="宋体" w:cs="宋体" w:hint="eastAsia"/>
                <w:b/>
                <w:bCs/>
                <w:kern w:val="0"/>
                <w:sz w:val="24"/>
              </w:rPr>
              <w:t>执行率（</w:t>
            </w:r>
            <w:r>
              <w:rPr>
                <w:rFonts w:ascii="宋体" w:hAnsi="宋体" w:cs="宋体" w:hint="eastAsia"/>
                <w:b/>
                <w:bCs/>
                <w:kern w:val="0"/>
                <w:sz w:val="24"/>
              </w:rPr>
              <w:t>%)</w:t>
            </w:r>
          </w:p>
        </w:tc>
      </w:tr>
      <w:tr w:rsidR="00A33FC3">
        <w:trPr>
          <w:trHeight w:val="540"/>
        </w:trPr>
        <w:tc>
          <w:tcPr>
            <w:tcW w:w="3079" w:type="dxa"/>
            <w:vAlign w:val="center"/>
          </w:tcPr>
          <w:p w:rsidR="00A33FC3" w:rsidRDefault="00F9155C">
            <w:pPr>
              <w:widowControl/>
              <w:jc w:val="left"/>
              <w:rPr>
                <w:rFonts w:ascii="宋体" w:hAnsi="宋体" w:cs="宋体"/>
                <w:kern w:val="0"/>
                <w:sz w:val="24"/>
              </w:rPr>
            </w:pPr>
            <w:r>
              <w:rPr>
                <w:rFonts w:ascii="宋体" w:hAnsi="宋体" w:cs="宋体" w:hint="eastAsia"/>
                <w:sz w:val="24"/>
              </w:rPr>
              <w:t>预算总金额</w:t>
            </w:r>
          </w:p>
        </w:tc>
        <w:tc>
          <w:tcPr>
            <w:tcW w:w="2268" w:type="dxa"/>
            <w:vAlign w:val="center"/>
          </w:tcPr>
          <w:p w:rsidR="00A33FC3" w:rsidRDefault="00F9155C">
            <w:pPr>
              <w:widowControl/>
              <w:jc w:val="center"/>
              <w:rPr>
                <w:rFonts w:ascii="宋体" w:hAnsi="宋体" w:cs="宋体"/>
                <w:kern w:val="0"/>
                <w:sz w:val="24"/>
              </w:rPr>
            </w:pPr>
            <w:r>
              <w:rPr>
                <w:rFonts w:ascii="宋体" w:hAnsi="宋体" w:cs="宋体" w:hint="eastAsia"/>
                <w:sz w:val="24"/>
              </w:rPr>
              <w:t>164.78</w:t>
            </w: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46.6</w:t>
            </w: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211.38</w:t>
            </w: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197.43</w:t>
            </w: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93.40%</w:t>
            </w:r>
          </w:p>
        </w:tc>
      </w:tr>
      <w:tr w:rsidR="00A33FC3">
        <w:trPr>
          <w:trHeight w:val="540"/>
        </w:trPr>
        <w:tc>
          <w:tcPr>
            <w:tcW w:w="3079" w:type="dxa"/>
            <w:vAlign w:val="center"/>
          </w:tcPr>
          <w:p w:rsidR="00A33FC3" w:rsidRDefault="00F9155C">
            <w:pPr>
              <w:widowControl/>
              <w:jc w:val="left"/>
              <w:rPr>
                <w:rFonts w:ascii="宋体" w:hAnsi="宋体" w:cs="宋体"/>
                <w:kern w:val="0"/>
                <w:sz w:val="24"/>
              </w:rPr>
            </w:pPr>
            <w:r>
              <w:rPr>
                <w:rFonts w:ascii="宋体" w:hAnsi="宋体" w:cs="宋体" w:hint="eastAsia"/>
                <w:sz w:val="24"/>
              </w:rPr>
              <w:t>基本支出</w:t>
            </w:r>
          </w:p>
        </w:tc>
        <w:tc>
          <w:tcPr>
            <w:tcW w:w="2268" w:type="dxa"/>
            <w:vAlign w:val="center"/>
          </w:tcPr>
          <w:p w:rsidR="00A33FC3" w:rsidRDefault="00F9155C">
            <w:pPr>
              <w:widowControl/>
              <w:jc w:val="center"/>
              <w:rPr>
                <w:rFonts w:ascii="宋体" w:hAnsi="宋体" w:cs="宋体"/>
                <w:kern w:val="0"/>
                <w:sz w:val="24"/>
              </w:rPr>
            </w:pPr>
            <w:r>
              <w:rPr>
                <w:rFonts w:ascii="宋体" w:hAnsi="宋体" w:cs="宋体" w:hint="eastAsia"/>
                <w:sz w:val="24"/>
              </w:rPr>
              <w:t>127.75</w:t>
            </w: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46.6</w:t>
            </w: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174.35</w:t>
            </w: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160.81</w:t>
            </w: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92.23%</w:t>
            </w:r>
          </w:p>
        </w:tc>
      </w:tr>
      <w:tr w:rsidR="00A33FC3">
        <w:trPr>
          <w:trHeight w:val="540"/>
        </w:trPr>
        <w:tc>
          <w:tcPr>
            <w:tcW w:w="3079" w:type="dxa"/>
            <w:vAlign w:val="center"/>
          </w:tcPr>
          <w:p w:rsidR="00A33FC3" w:rsidRDefault="00F9155C">
            <w:pPr>
              <w:widowControl/>
              <w:jc w:val="left"/>
              <w:rPr>
                <w:rFonts w:ascii="宋体" w:hAnsi="宋体" w:cs="宋体"/>
                <w:kern w:val="0"/>
                <w:sz w:val="24"/>
              </w:rPr>
            </w:pPr>
            <w:r>
              <w:rPr>
                <w:rFonts w:ascii="宋体" w:hAnsi="宋体" w:cs="宋体" w:hint="eastAsia"/>
                <w:sz w:val="24"/>
              </w:rPr>
              <w:t>项目支出</w:t>
            </w:r>
          </w:p>
        </w:tc>
        <w:tc>
          <w:tcPr>
            <w:tcW w:w="2268" w:type="dxa"/>
            <w:vAlign w:val="center"/>
          </w:tcPr>
          <w:p w:rsidR="00A33FC3" w:rsidRDefault="00F9155C">
            <w:pPr>
              <w:widowControl/>
              <w:jc w:val="center"/>
              <w:rPr>
                <w:rFonts w:ascii="宋体" w:hAnsi="宋体" w:cs="宋体"/>
                <w:kern w:val="0"/>
                <w:sz w:val="24"/>
              </w:rPr>
            </w:pPr>
            <w:r>
              <w:rPr>
                <w:rFonts w:ascii="宋体" w:hAnsi="宋体" w:cs="宋体" w:hint="eastAsia"/>
                <w:sz w:val="24"/>
              </w:rPr>
              <w:t>37.03</w:t>
            </w:r>
          </w:p>
        </w:tc>
        <w:tc>
          <w:tcPr>
            <w:tcW w:w="2268" w:type="dxa"/>
            <w:vAlign w:val="center"/>
          </w:tcPr>
          <w:p w:rsidR="00A33FC3" w:rsidRDefault="00A33FC3">
            <w:pPr>
              <w:widowControl/>
              <w:jc w:val="center"/>
              <w:rPr>
                <w:rFonts w:ascii="宋体" w:hAnsi="宋体" w:cs="宋体"/>
                <w:sz w:val="24"/>
              </w:rPr>
            </w:pP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37.03</w:t>
            </w: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36.62</w:t>
            </w: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98.89%</w:t>
            </w:r>
          </w:p>
        </w:tc>
      </w:tr>
      <w:tr w:rsidR="00A33FC3">
        <w:trPr>
          <w:trHeight w:val="540"/>
        </w:trPr>
        <w:tc>
          <w:tcPr>
            <w:tcW w:w="3079" w:type="dxa"/>
            <w:vAlign w:val="center"/>
          </w:tcPr>
          <w:p w:rsidR="00A33FC3" w:rsidRDefault="00F9155C">
            <w:pPr>
              <w:widowControl/>
              <w:jc w:val="left"/>
              <w:rPr>
                <w:rFonts w:ascii="宋体" w:hAnsi="宋体" w:cs="宋体"/>
                <w:kern w:val="0"/>
                <w:sz w:val="24"/>
              </w:rPr>
            </w:pPr>
            <w:r>
              <w:rPr>
                <w:rFonts w:ascii="宋体" w:hAnsi="宋体" w:cs="宋体" w:hint="eastAsia"/>
                <w:sz w:val="24"/>
              </w:rPr>
              <w:t>科研项目经费</w:t>
            </w:r>
          </w:p>
        </w:tc>
        <w:tc>
          <w:tcPr>
            <w:tcW w:w="2268" w:type="dxa"/>
            <w:vAlign w:val="center"/>
          </w:tcPr>
          <w:p w:rsidR="00A33FC3" w:rsidRDefault="00F9155C">
            <w:pPr>
              <w:widowControl/>
              <w:jc w:val="center"/>
              <w:rPr>
                <w:rFonts w:ascii="宋体" w:hAnsi="宋体" w:cs="宋体"/>
                <w:kern w:val="0"/>
                <w:sz w:val="24"/>
              </w:rPr>
            </w:pPr>
            <w:r>
              <w:rPr>
                <w:rFonts w:ascii="宋体" w:hAnsi="宋体" w:cs="宋体" w:hint="eastAsia"/>
                <w:sz w:val="24"/>
              </w:rPr>
              <w:t>21.78</w:t>
            </w:r>
          </w:p>
        </w:tc>
        <w:tc>
          <w:tcPr>
            <w:tcW w:w="2268" w:type="dxa"/>
            <w:vAlign w:val="center"/>
          </w:tcPr>
          <w:p w:rsidR="00A33FC3" w:rsidRDefault="00A33FC3">
            <w:pPr>
              <w:widowControl/>
              <w:jc w:val="center"/>
              <w:rPr>
                <w:rFonts w:ascii="宋体" w:hAnsi="宋体" w:cs="宋体"/>
                <w:sz w:val="24"/>
              </w:rPr>
            </w:pP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21.78</w:t>
            </w: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21.72</w:t>
            </w: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99.72%</w:t>
            </w:r>
          </w:p>
        </w:tc>
      </w:tr>
      <w:tr w:rsidR="00A33FC3">
        <w:trPr>
          <w:trHeight w:val="540"/>
        </w:trPr>
        <w:tc>
          <w:tcPr>
            <w:tcW w:w="3079" w:type="dxa"/>
            <w:vAlign w:val="center"/>
          </w:tcPr>
          <w:p w:rsidR="00A33FC3" w:rsidRDefault="00F9155C">
            <w:pPr>
              <w:widowControl/>
              <w:jc w:val="left"/>
              <w:rPr>
                <w:rFonts w:ascii="宋体" w:hAnsi="宋体" w:cs="宋体"/>
                <w:kern w:val="0"/>
                <w:sz w:val="24"/>
              </w:rPr>
            </w:pPr>
            <w:r>
              <w:rPr>
                <w:rFonts w:ascii="宋体" w:hAnsi="宋体" w:cs="宋体" w:hint="eastAsia"/>
                <w:sz w:val="24"/>
              </w:rPr>
              <w:t>党团活动经费</w:t>
            </w:r>
          </w:p>
        </w:tc>
        <w:tc>
          <w:tcPr>
            <w:tcW w:w="2268" w:type="dxa"/>
            <w:vAlign w:val="center"/>
          </w:tcPr>
          <w:p w:rsidR="00A33FC3" w:rsidRDefault="00F9155C">
            <w:pPr>
              <w:widowControl/>
              <w:jc w:val="center"/>
              <w:rPr>
                <w:rFonts w:ascii="宋体" w:hAnsi="宋体" w:cs="宋体"/>
                <w:kern w:val="0"/>
                <w:sz w:val="24"/>
              </w:rPr>
            </w:pPr>
            <w:r>
              <w:rPr>
                <w:rFonts w:ascii="宋体" w:hAnsi="宋体" w:cs="宋体" w:hint="eastAsia"/>
                <w:sz w:val="24"/>
              </w:rPr>
              <w:t>.4</w:t>
            </w:r>
          </w:p>
        </w:tc>
        <w:tc>
          <w:tcPr>
            <w:tcW w:w="2268" w:type="dxa"/>
            <w:vAlign w:val="center"/>
          </w:tcPr>
          <w:p w:rsidR="00A33FC3" w:rsidRDefault="00A33FC3">
            <w:pPr>
              <w:widowControl/>
              <w:jc w:val="center"/>
              <w:rPr>
                <w:rFonts w:ascii="宋体" w:hAnsi="宋体" w:cs="宋体"/>
                <w:sz w:val="24"/>
              </w:rPr>
            </w:pP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0.4</w:t>
            </w: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0.33</w:t>
            </w: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82.50%</w:t>
            </w:r>
          </w:p>
        </w:tc>
      </w:tr>
      <w:tr w:rsidR="00A33FC3">
        <w:trPr>
          <w:trHeight w:val="540"/>
        </w:trPr>
        <w:tc>
          <w:tcPr>
            <w:tcW w:w="3079" w:type="dxa"/>
            <w:vAlign w:val="center"/>
          </w:tcPr>
          <w:p w:rsidR="00A33FC3" w:rsidRDefault="00F9155C">
            <w:pPr>
              <w:widowControl/>
              <w:jc w:val="left"/>
              <w:rPr>
                <w:rFonts w:ascii="宋体" w:hAnsi="宋体" w:cs="宋体"/>
                <w:kern w:val="0"/>
                <w:sz w:val="24"/>
              </w:rPr>
            </w:pPr>
            <w:r>
              <w:rPr>
                <w:rFonts w:ascii="宋体" w:hAnsi="宋体" w:cs="宋体" w:hint="eastAsia"/>
                <w:sz w:val="24"/>
              </w:rPr>
              <w:t>专项培训费</w:t>
            </w:r>
          </w:p>
        </w:tc>
        <w:tc>
          <w:tcPr>
            <w:tcW w:w="2268" w:type="dxa"/>
            <w:vAlign w:val="center"/>
          </w:tcPr>
          <w:p w:rsidR="00A33FC3" w:rsidRDefault="00F9155C">
            <w:pPr>
              <w:widowControl/>
              <w:jc w:val="center"/>
              <w:rPr>
                <w:rFonts w:ascii="宋体" w:hAnsi="宋体" w:cs="宋体"/>
                <w:kern w:val="0"/>
                <w:sz w:val="24"/>
              </w:rPr>
            </w:pPr>
            <w:r>
              <w:rPr>
                <w:rFonts w:ascii="宋体" w:hAnsi="宋体" w:cs="宋体" w:hint="eastAsia"/>
                <w:sz w:val="24"/>
              </w:rPr>
              <w:t>1.13</w:t>
            </w:r>
          </w:p>
        </w:tc>
        <w:tc>
          <w:tcPr>
            <w:tcW w:w="2268" w:type="dxa"/>
            <w:vAlign w:val="center"/>
          </w:tcPr>
          <w:p w:rsidR="00A33FC3" w:rsidRDefault="00A33FC3">
            <w:pPr>
              <w:widowControl/>
              <w:jc w:val="center"/>
              <w:rPr>
                <w:rFonts w:ascii="宋体" w:hAnsi="宋体" w:cs="宋体"/>
                <w:sz w:val="24"/>
              </w:rPr>
            </w:pP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1.13</w:t>
            </w: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0.84</w:t>
            </w: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74.34%</w:t>
            </w:r>
          </w:p>
        </w:tc>
      </w:tr>
      <w:tr w:rsidR="00A33FC3">
        <w:trPr>
          <w:trHeight w:val="540"/>
        </w:trPr>
        <w:tc>
          <w:tcPr>
            <w:tcW w:w="3079" w:type="dxa"/>
            <w:vAlign w:val="center"/>
          </w:tcPr>
          <w:p w:rsidR="00A33FC3" w:rsidRDefault="00F9155C">
            <w:pPr>
              <w:widowControl/>
              <w:jc w:val="left"/>
              <w:rPr>
                <w:rFonts w:ascii="宋体" w:hAnsi="宋体" w:cs="宋体"/>
                <w:kern w:val="0"/>
                <w:sz w:val="24"/>
              </w:rPr>
            </w:pPr>
            <w:r>
              <w:rPr>
                <w:rFonts w:ascii="宋体" w:hAnsi="宋体" w:cs="宋体" w:hint="eastAsia"/>
                <w:sz w:val="24"/>
              </w:rPr>
              <w:t>体检费</w:t>
            </w:r>
          </w:p>
        </w:tc>
        <w:tc>
          <w:tcPr>
            <w:tcW w:w="2268" w:type="dxa"/>
            <w:vAlign w:val="center"/>
          </w:tcPr>
          <w:p w:rsidR="00A33FC3" w:rsidRDefault="00F9155C">
            <w:pPr>
              <w:widowControl/>
              <w:jc w:val="center"/>
              <w:rPr>
                <w:rFonts w:ascii="宋体" w:hAnsi="宋体" w:cs="宋体"/>
                <w:kern w:val="0"/>
                <w:sz w:val="24"/>
              </w:rPr>
            </w:pPr>
            <w:r>
              <w:rPr>
                <w:rFonts w:ascii="宋体" w:hAnsi="宋体" w:cs="宋体" w:hint="eastAsia"/>
                <w:sz w:val="24"/>
              </w:rPr>
              <w:t>.72</w:t>
            </w:r>
          </w:p>
        </w:tc>
        <w:tc>
          <w:tcPr>
            <w:tcW w:w="2268" w:type="dxa"/>
            <w:vAlign w:val="center"/>
          </w:tcPr>
          <w:p w:rsidR="00A33FC3" w:rsidRDefault="00A33FC3">
            <w:pPr>
              <w:widowControl/>
              <w:jc w:val="center"/>
              <w:rPr>
                <w:rFonts w:ascii="宋体" w:hAnsi="宋体" w:cs="宋体"/>
                <w:sz w:val="24"/>
              </w:rPr>
            </w:pP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0.72</w:t>
            </w: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0.72</w:t>
            </w: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100.00%</w:t>
            </w:r>
          </w:p>
        </w:tc>
      </w:tr>
      <w:tr w:rsidR="00A33FC3">
        <w:trPr>
          <w:trHeight w:val="540"/>
        </w:trPr>
        <w:tc>
          <w:tcPr>
            <w:tcW w:w="3079" w:type="dxa"/>
            <w:vAlign w:val="center"/>
          </w:tcPr>
          <w:p w:rsidR="00A33FC3" w:rsidRDefault="00F9155C">
            <w:pPr>
              <w:widowControl/>
              <w:jc w:val="left"/>
              <w:rPr>
                <w:rFonts w:ascii="宋体" w:hAnsi="宋体" w:cs="宋体"/>
                <w:kern w:val="0"/>
                <w:sz w:val="24"/>
              </w:rPr>
            </w:pPr>
            <w:r>
              <w:rPr>
                <w:rFonts w:ascii="宋体" w:hAnsi="宋体" w:cs="宋体" w:hint="eastAsia"/>
                <w:sz w:val="24"/>
              </w:rPr>
              <w:t>专项聘请专家费</w:t>
            </w:r>
          </w:p>
        </w:tc>
        <w:tc>
          <w:tcPr>
            <w:tcW w:w="2268" w:type="dxa"/>
            <w:vAlign w:val="center"/>
          </w:tcPr>
          <w:p w:rsidR="00A33FC3" w:rsidRDefault="00F9155C">
            <w:pPr>
              <w:widowControl/>
              <w:jc w:val="center"/>
              <w:rPr>
                <w:rFonts w:ascii="宋体" w:hAnsi="宋体" w:cs="宋体"/>
                <w:kern w:val="0"/>
                <w:sz w:val="24"/>
              </w:rPr>
            </w:pPr>
            <w:r>
              <w:rPr>
                <w:rFonts w:ascii="宋体" w:hAnsi="宋体" w:cs="宋体" w:hint="eastAsia"/>
                <w:sz w:val="24"/>
              </w:rPr>
              <w:t>2.6</w:t>
            </w:r>
          </w:p>
        </w:tc>
        <w:tc>
          <w:tcPr>
            <w:tcW w:w="2268" w:type="dxa"/>
            <w:vAlign w:val="center"/>
          </w:tcPr>
          <w:p w:rsidR="00A33FC3" w:rsidRDefault="00A33FC3">
            <w:pPr>
              <w:widowControl/>
              <w:jc w:val="center"/>
              <w:rPr>
                <w:rFonts w:ascii="宋体" w:hAnsi="宋体" w:cs="宋体"/>
                <w:sz w:val="24"/>
              </w:rPr>
            </w:pP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2.6</w:t>
            </w: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2.6</w:t>
            </w: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100.00%</w:t>
            </w:r>
          </w:p>
        </w:tc>
      </w:tr>
      <w:tr w:rsidR="00A33FC3">
        <w:trPr>
          <w:trHeight w:val="540"/>
        </w:trPr>
        <w:tc>
          <w:tcPr>
            <w:tcW w:w="3079" w:type="dxa"/>
            <w:vAlign w:val="center"/>
          </w:tcPr>
          <w:p w:rsidR="00A33FC3" w:rsidRDefault="00F9155C">
            <w:pPr>
              <w:widowControl/>
              <w:jc w:val="left"/>
              <w:rPr>
                <w:rFonts w:ascii="宋体" w:hAnsi="宋体" w:cs="宋体"/>
                <w:kern w:val="0"/>
                <w:sz w:val="24"/>
              </w:rPr>
            </w:pPr>
            <w:r>
              <w:rPr>
                <w:rFonts w:ascii="宋体" w:hAnsi="宋体" w:cs="宋体" w:hint="eastAsia"/>
                <w:sz w:val="24"/>
              </w:rPr>
              <w:t>专项委托业务费</w:t>
            </w:r>
          </w:p>
        </w:tc>
        <w:tc>
          <w:tcPr>
            <w:tcW w:w="2268" w:type="dxa"/>
            <w:vAlign w:val="center"/>
          </w:tcPr>
          <w:p w:rsidR="00A33FC3" w:rsidRDefault="00F9155C">
            <w:pPr>
              <w:widowControl/>
              <w:jc w:val="center"/>
              <w:rPr>
                <w:rFonts w:ascii="宋体" w:hAnsi="宋体" w:cs="宋体"/>
                <w:kern w:val="0"/>
                <w:sz w:val="24"/>
              </w:rPr>
            </w:pPr>
            <w:r>
              <w:rPr>
                <w:rFonts w:ascii="宋体" w:hAnsi="宋体" w:cs="宋体" w:hint="eastAsia"/>
                <w:sz w:val="24"/>
              </w:rPr>
              <w:t>10.4</w:t>
            </w:r>
          </w:p>
        </w:tc>
        <w:tc>
          <w:tcPr>
            <w:tcW w:w="2268" w:type="dxa"/>
            <w:vAlign w:val="center"/>
          </w:tcPr>
          <w:p w:rsidR="00A33FC3" w:rsidRDefault="00A33FC3">
            <w:pPr>
              <w:widowControl/>
              <w:jc w:val="center"/>
              <w:rPr>
                <w:rFonts w:ascii="宋体" w:hAnsi="宋体" w:cs="宋体"/>
                <w:sz w:val="24"/>
              </w:rPr>
            </w:pP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10.4</w:t>
            </w: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10.4</w:t>
            </w:r>
          </w:p>
        </w:tc>
        <w:tc>
          <w:tcPr>
            <w:tcW w:w="2268" w:type="dxa"/>
            <w:vAlign w:val="center"/>
          </w:tcPr>
          <w:p w:rsidR="00A33FC3" w:rsidRDefault="00F9155C">
            <w:pPr>
              <w:widowControl/>
              <w:jc w:val="center"/>
              <w:rPr>
                <w:rFonts w:ascii="宋体" w:hAnsi="宋体" w:cs="宋体"/>
                <w:sz w:val="24"/>
              </w:rPr>
            </w:pPr>
            <w:r>
              <w:rPr>
                <w:rFonts w:ascii="宋体" w:hAnsi="宋体" w:cs="宋体" w:hint="eastAsia"/>
                <w:sz w:val="24"/>
              </w:rPr>
              <w:t>100.00%</w:t>
            </w:r>
          </w:p>
        </w:tc>
      </w:tr>
    </w:tbl>
    <w:p w:rsidR="00A33FC3" w:rsidRDefault="00A33FC3">
      <w:pPr>
        <w:spacing w:line="360" w:lineRule="auto"/>
        <w:ind w:left="600"/>
        <w:rPr>
          <w:rFonts w:ascii="黑体" w:eastAsia="黑体" w:hAnsi="黑体"/>
          <w:sz w:val="30"/>
        </w:rPr>
      </w:pPr>
    </w:p>
    <w:p w:rsidR="00A33FC3" w:rsidRDefault="00F9155C">
      <w:pPr>
        <w:numPr>
          <w:ilvl w:val="0"/>
          <w:numId w:val="1"/>
        </w:numPr>
        <w:spacing w:line="360" w:lineRule="auto"/>
        <w:ind w:left="600"/>
        <w:rPr>
          <w:rFonts w:ascii="黑体" w:eastAsia="黑体" w:hAnsi="黑体"/>
          <w:sz w:val="30"/>
        </w:rPr>
      </w:pPr>
      <w:r>
        <w:rPr>
          <w:rFonts w:ascii="黑体" w:eastAsia="黑体" w:hAnsi="黑体" w:hint="eastAsia"/>
          <w:sz w:val="30"/>
        </w:rPr>
        <w:t>年度重点任务</w:t>
      </w:r>
    </w:p>
    <w:p w:rsidR="00A33FC3" w:rsidRDefault="00A33FC3">
      <w:pPr>
        <w:spacing w:line="360" w:lineRule="auto"/>
        <w:ind w:left="600"/>
        <w:rPr>
          <w:rFonts w:ascii="黑体" w:eastAsia="黑体" w:hAnsi="黑体"/>
          <w:sz w:val="30"/>
        </w:rPr>
      </w:pPr>
    </w:p>
    <w:tbl>
      <w:tblPr>
        <w:tblW w:w="13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9"/>
        <w:gridCol w:w="3818"/>
        <w:gridCol w:w="6280"/>
      </w:tblGrid>
      <w:tr w:rsidR="00A33FC3">
        <w:trPr>
          <w:trHeight w:val="339"/>
        </w:trPr>
        <w:tc>
          <w:tcPr>
            <w:tcW w:w="3419" w:type="dxa"/>
            <w:shd w:val="clear" w:color="000000" w:fill="BFBFBF"/>
            <w:vAlign w:val="center"/>
          </w:tcPr>
          <w:p w:rsidR="00A33FC3" w:rsidRDefault="00A33FC3">
            <w:pPr>
              <w:widowControl/>
              <w:jc w:val="center"/>
              <w:rPr>
                <w:rFonts w:ascii="宋体" w:hAnsi="宋体" w:cs="宋体"/>
                <w:b/>
                <w:bCs/>
                <w:kern w:val="0"/>
                <w:sz w:val="24"/>
              </w:rPr>
            </w:pPr>
          </w:p>
          <w:p w:rsidR="00A33FC3" w:rsidRDefault="00F9155C">
            <w:pPr>
              <w:widowControl/>
              <w:jc w:val="center"/>
              <w:rPr>
                <w:rFonts w:ascii="宋体" w:hAnsi="宋体" w:cs="宋体"/>
                <w:b/>
                <w:bCs/>
                <w:kern w:val="0"/>
                <w:sz w:val="24"/>
              </w:rPr>
            </w:pPr>
            <w:r>
              <w:rPr>
                <w:rFonts w:ascii="宋体" w:hAnsi="宋体" w:cs="宋体" w:hint="eastAsia"/>
                <w:b/>
                <w:bCs/>
                <w:kern w:val="0"/>
                <w:sz w:val="24"/>
              </w:rPr>
              <w:t>对应部门主要职责</w:t>
            </w:r>
          </w:p>
          <w:p w:rsidR="00A33FC3" w:rsidRDefault="00A33FC3">
            <w:pPr>
              <w:widowControl/>
              <w:jc w:val="center"/>
              <w:rPr>
                <w:rFonts w:ascii="宋体" w:hAnsi="宋体" w:cs="宋体"/>
                <w:b/>
                <w:bCs/>
                <w:kern w:val="0"/>
                <w:sz w:val="24"/>
              </w:rPr>
            </w:pPr>
          </w:p>
        </w:tc>
        <w:tc>
          <w:tcPr>
            <w:tcW w:w="3818" w:type="dxa"/>
            <w:shd w:val="clear" w:color="000000" w:fill="BFBFBF"/>
            <w:vAlign w:val="center"/>
          </w:tcPr>
          <w:p w:rsidR="00A33FC3" w:rsidRDefault="00F9155C">
            <w:pPr>
              <w:widowControl/>
              <w:jc w:val="center"/>
              <w:rPr>
                <w:rFonts w:ascii="宋体" w:hAnsi="宋体" w:cs="宋体"/>
                <w:b/>
                <w:bCs/>
                <w:kern w:val="0"/>
                <w:sz w:val="24"/>
              </w:rPr>
            </w:pPr>
            <w:r>
              <w:rPr>
                <w:rFonts w:ascii="宋体" w:hAnsi="宋体" w:cs="宋体" w:hint="eastAsia"/>
                <w:b/>
                <w:bCs/>
                <w:kern w:val="0"/>
                <w:sz w:val="24"/>
              </w:rPr>
              <w:t>任务名称</w:t>
            </w:r>
          </w:p>
        </w:tc>
        <w:tc>
          <w:tcPr>
            <w:tcW w:w="6280" w:type="dxa"/>
            <w:shd w:val="clear" w:color="000000" w:fill="BFBFBF"/>
            <w:vAlign w:val="center"/>
          </w:tcPr>
          <w:p w:rsidR="00A33FC3" w:rsidRDefault="00F9155C">
            <w:pPr>
              <w:widowControl/>
              <w:jc w:val="center"/>
              <w:rPr>
                <w:rFonts w:ascii="宋体" w:hAnsi="宋体" w:cs="宋体"/>
                <w:b/>
                <w:bCs/>
                <w:kern w:val="0"/>
                <w:sz w:val="24"/>
              </w:rPr>
            </w:pPr>
            <w:r>
              <w:rPr>
                <w:rFonts w:ascii="宋体" w:hAnsi="宋体" w:cs="宋体" w:hint="eastAsia"/>
                <w:b/>
                <w:bCs/>
                <w:kern w:val="0"/>
                <w:sz w:val="24"/>
              </w:rPr>
              <w:t>完成情况</w:t>
            </w:r>
          </w:p>
        </w:tc>
      </w:tr>
      <w:tr w:rsidR="00A33FC3">
        <w:trPr>
          <w:trHeight w:val="608"/>
        </w:trPr>
        <w:tc>
          <w:tcPr>
            <w:tcW w:w="3419" w:type="dxa"/>
            <w:vAlign w:val="center"/>
          </w:tcPr>
          <w:p w:rsidR="00A33FC3" w:rsidRDefault="00F9155C">
            <w:pPr>
              <w:widowControl/>
              <w:jc w:val="center"/>
              <w:rPr>
                <w:rFonts w:ascii="宋体" w:hAnsi="宋体" w:cs="宋体"/>
                <w:kern w:val="0"/>
                <w:sz w:val="24"/>
              </w:rPr>
            </w:pPr>
            <w:r>
              <w:rPr>
                <w:rFonts w:ascii="宋体" w:hAnsi="宋体" w:cs="宋体" w:hint="eastAsia"/>
                <w:sz w:val="24"/>
              </w:rPr>
              <w:t>负责综合指导全市技工院校教学教研活动，组织技工类院校教师业务培训</w:t>
            </w:r>
          </w:p>
        </w:tc>
        <w:tc>
          <w:tcPr>
            <w:tcW w:w="3818" w:type="dxa"/>
            <w:vAlign w:val="center"/>
          </w:tcPr>
          <w:p w:rsidR="00A33FC3" w:rsidRDefault="00F9155C">
            <w:pPr>
              <w:widowControl/>
              <w:jc w:val="center"/>
              <w:rPr>
                <w:rFonts w:ascii="宋体" w:hAnsi="宋体" w:cs="宋体"/>
                <w:sz w:val="24"/>
              </w:rPr>
            </w:pPr>
            <w:r>
              <w:rPr>
                <w:rFonts w:ascii="宋体" w:hAnsi="宋体" w:cs="宋体" w:hint="eastAsia"/>
                <w:sz w:val="24"/>
              </w:rPr>
              <w:t>教师进企业研修及开展中心教研组活动。</w:t>
            </w:r>
          </w:p>
        </w:tc>
        <w:tc>
          <w:tcPr>
            <w:tcW w:w="6280" w:type="dxa"/>
            <w:vAlign w:val="center"/>
          </w:tcPr>
          <w:p w:rsidR="00A33FC3" w:rsidRDefault="00F9155C">
            <w:pPr>
              <w:widowControl/>
              <w:jc w:val="center"/>
              <w:rPr>
                <w:rFonts w:ascii="宋体" w:hAnsi="宋体" w:cs="宋体"/>
                <w:sz w:val="24"/>
              </w:rPr>
            </w:pPr>
            <w:r>
              <w:rPr>
                <w:rFonts w:ascii="宋体" w:hAnsi="宋体" w:cs="宋体" w:hint="eastAsia"/>
                <w:sz w:val="24"/>
              </w:rPr>
              <w:t>联合举办</w:t>
            </w:r>
            <w:r>
              <w:rPr>
                <w:rFonts w:ascii="宋体" w:hAnsi="宋体" w:cs="宋体" w:hint="eastAsia"/>
                <w:sz w:val="24"/>
              </w:rPr>
              <w:t>2023</w:t>
            </w:r>
            <w:r>
              <w:rPr>
                <w:rFonts w:ascii="宋体" w:hAnsi="宋体" w:cs="宋体" w:hint="eastAsia"/>
                <w:sz w:val="24"/>
              </w:rPr>
              <w:t>年苏锡常三地技工院校骨干教师师资研修班；组织</w:t>
            </w:r>
            <w:r>
              <w:rPr>
                <w:rFonts w:ascii="宋体" w:hAnsi="宋体" w:cs="宋体" w:hint="eastAsia"/>
                <w:sz w:val="24"/>
              </w:rPr>
              <w:t>2023</w:t>
            </w:r>
            <w:r>
              <w:rPr>
                <w:rFonts w:ascii="宋体" w:hAnsi="宋体" w:cs="宋体" w:hint="eastAsia"/>
                <w:sz w:val="24"/>
              </w:rPr>
              <w:t>年全市技工院校教师暑期进企业研修；组织开展全市技工院校先进制造中心教研组、现代服务中心教研组、素质中心教研组活动。产出指标完成情况较好</w:t>
            </w:r>
          </w:p>
        </w:tc>
      </w:tr>
      <w:tr w:rsidR="00A33FC3">
        <w:trPr>
          <w:trHeight w:val="608"/>
        </w:trPr>
        <w:tc>
          <w:tcPr>
            <w:tcW w:w="3419" w:type="dxa"/>
            <w:vAlign w:val="center"/>
          </w:tcPr>
          <w:p w:rsidR="00A33FC3" w:rsidRDefault="00F9155C">
            <w:pPr>
              <w:widowControl/>
              <w:jc w:val="center"/>
              <w:rPr>
                <w:rFonts w:ascii="宋体" w:hAnsi="宋体" w:cs="宋体"/>
                <w:kern w:val="0"/>
                <w:sz w:val="24"/>
              </w:rPr>
            </w:pPr>
            <w:r>
              <w:rPr>
                <w:rFonts w:ascii="宋体" w:hAnsi="宋体" w:cs="宋体" w:hint="eastAsia"/>
                <w:sz w:val="24"/>
              </w:rPr>
              <w:t>开展技工教育教学与理论研究</w:t>
            </w:r>
          </w:p>
        </w:tc>
        <w:tc>
          <w:tcPr>
            <w:tcW w:w="3818" w:type="dxa"/>
            <w:vAlign w:val="center"/>
          </w:tcPr>
          <w:p w:rsidR="00A33FC3" w:rsidRDefault="00F9155C">
            <w:pPr>
              <w:widowControl/>
              <w:jc w:val="center"/>
              <w:rPr>
                <w:rFonts w:ascii="宋体" w:hAnsi="宋体" w:cs="宋体"/>
                <w:sz w:val="24"/>
              </w:rPr>
            </w:pPr>
            <w:r>
              <w:rPr>
                <w:rFonts w:ascii="宋体" w:hAnsi="宋体" w:cs="宋体" w:hint="eastAsia"/>
                <w:sz w:val="24"/>
              </w:rPr>
              <w:t>全市技工院校教师论文、教案等教育教学类评比、各类荣誉类评比；书香文化节等各类作品类评审。</w:t>
            </w:r>
          </w:p>
        </w:tc>
        <w:tc>
          <w:tcPr>
            <w:tcW w:w="6280" w:type="dxa"/>
            <w:vAlign w:val="center"/>
          </w:tcPr>
          <w:p w:rsidR="00A33FC3" w:rsidRDefault="00F9155C">
            <w:pPr>
              <w:widowControl/>
              <w:jc w:val="center"/>
              <w:rPr>
                <w:rFonts w:ascii="宋体" w:hAnsi="宋体" w:cs="宋体"/>
                <w:sz w:val="24"/>
              </w:rPr>
            </w:pPr>
            <w:r>
              <w:rPr>
                <w:rFonts w:ascii="宋体" w:hAnsi="宋体" w:cs="宋体" w:hint="eastAsia"/>
                <w:sz w:val="24"/>
              </w:rPr>
              <w:t>开展苏州市教学名师、专业带头人、教坛新秀评选工作；对全市技工院校教师论文、教案评比；书香文化节、汉字书写作品评审工作。产出指标完成情况较好。</w:t>
            </w:r>
          </w:p>
        </w:tc>
      </w:tr>
      <w:tr w:rsidR="00A33FC3">
        <w:trPr>
          <w:trHeight w:val="608"/>
        </w:trPr>
        <w:tc>
          <w:tcPr>
            <w:tcW w:w="3419" w:type="dxa"/>
            <w:vAlign w:val="center"/>
          </w:tcPr>
          <w:p w:rsidR="00A33FC3" w:rsidRDefault="00F9155C">
            <w:pPr>
              <w:widowControl/>
              <w:jc w:val="center"/>
              <w:rPr>
                <w:rFonts w:ascii="宋体" w:hAnsi="宋体" w:cs="宋体"/>
                <w:kern w:val="0"/>
                <w:sz w:val="24"/>
              </w:rPr>
            </w:pPr>
            <w:r>
              <w:rPr>
                <w:rFonts w:ascii="宋体" w:hAnsi="宋体" w:cs="宋体" w:hint="eastAsia"/>
                <w:sz w:val="24"/>
              </w:rPr>
              <w:t>开展技工院校学生各类活动</w:t>
            </w:r>
          </w:p>
        </w:tc>
        <w:tc>
          <w:tcPr>
            <w:tcW w:w="3818" w:type="dxa"/>
            <w:vAlign w:val="center"/>
          </w:tcPr>
          <w:p w:rsidR="00A33FC3" w:rsidRDefault="00F9155C">
            <w:pPr>
              <w:widowControl/>
              <w:jc w:val="center"/>
              <w:rPr>
                <w:rFonts w:ascii="宋体" w:hAnsi="宋体" w:cs="宋体"/>
                <w:sz w:val="24"/>
              </w:rPr>
            </w:pPr>
            <w:r>
              <w:rPr>
                <w:rFonts w:ascii="宋体" w:hAnsi="宋体" w:cs="宋体" w:hint="eastAsia"/>
                <w:sz w:val="24"/>
              </w:rPr>
              <w:t>开展学生能力提升、体育比赛等活动。</w:t>
            </w:r>
          </w:p>
        </w:tc>
        <w:tc>
          <w:tcPr>
            <w:tcW w:w="6280" w:type="dxa"/>
            <w:vAlign w:val="center"/>
          </w:tcPr>
          <w:p w:rsidR="00A33FC3" w:rsidRDefault="00F9155C">
            <w:pPr>
              <w:widowControl/>
              <w:jc w:val="center"/>
              <w:rPr>
                <w:rFonts w:ascii="宋体" w:hAnsi="宋体" w:cs="宋体"/>
                <w:sz w:val="24"/>
              </w:rPr>
            </w:pPr>
            <w:r>
              <w:rPr>
                <w:rFonts w:ascii="宋体" w:hAnsi="宋体" w:cs="宋体" w:hint="eastAsia"/>
                <w:sz w:val="24"/>
              </w:rPr>
              <w:t>开展第十五届苏州市“普通话、苏州方言、英语口语”比赛；全市技工院校篮球赛、冬季三项运动会、乒乓球赛；</w:t>
            </w:r>
            <w:r>
              <w:rPr>
                <w:rFonts w:ascii="宋体" w:hAnsi="宋体" w:cs="宋体" w:hint="eastAsia"/>
                <w:sz w:val="24"/>
              </w:rPr>
              <w:t>2022</w:t>
            </w:r>
            <w:r>
              <w:rPr>
                <w:rFonts w:ascii="宋体" w:hAnsi="宋体" w:cs="宋体" w:hint="eastAsia"/>
                <w:sz w:val="24"/>
              </w:rPr>
              <w:t>—</w:t>
            </w:r>
            <w:r>
              <w:rPr>
                <w:rFonts w:ascii="宋体" w:hAnsi="宋体" w:cs="宋体" w:hint="eastAsia"/>
                <w:sz w:val="24"/>
              </w:rPr>
              <w:t>2023</w:t>
            </w:r>
            <w:r>
              <w:rPr>
                <w:rFonts w:ascii="宋体" w:hAnsi="宋体" w:cs="宋体" w:hint="eastAsia"/>
                <w:sz w:val="24"/>
              </w:rPr>
              <w:t>学年全市“三好”学生、优秀学生干部、先进集体代表能力提升活动，全面促进技工院校学生德智体全面发展。</w:t>
            </w:r>
          </w:p>
        </w:tc>
      </w:tr>
    </w:tbl>
    <w:p w:rsidR="00A33FC3" w:rsidRDefault="00A33FC3">
      <w:pPr>
        <w:spacing w:line="360" w:lineRule="auto"/>
        <w:ind w:left="600"/>
        <w:rPr>
          <w:rFonts w:ascii="黑体" w:eastAsia="黑体" w:hAnsi="黑体"/>
          <w:sz w:val="30"/>
        </w:rPr>
      </w:pPr>
    </w:p>
    <w:p w:rsidR="00A33FC3" w:rsidRDefault="00A33FC3">
      <w:pPr>
        <w:spacing w:line="360" w:lineRule="auto"/>
        <w:ind w:left="600"/>
        <w:rPr>
          <w:rFonts w:ascii="黑体" w:eastAsia="黑体" w:hAnsi="黑体"/>
          <w:sz w:val="30"/>
        </w:rPr>
      </w:pPr>
    </w:p>
    <w:p w:rsidR="00A33FC3" w:rsidRDefault="00F9155C">
      <w:pPr>
        <w:numPr>
          <w:ilvl w:val="0"/>
          <w:numId w:val="1"/>
        </w:numPr>
        <w:spacing w:line="360" w:lineRule="auto"/>
        <w:ind w:left="600"/>
        <w:rPr>
          <w:rFonts w:ascii="黑体" w:eastAsia="黑体" w:hAnsi="黑体"/>
          <w:sz w:val="30"/>
        </w:rPr>
      </w:pPr>
      <w:r>
        <w:rPr>
          <w:rFonts w:ascii="黑体" w:eastAsia="黑体" w:hAnsi="黑体" w:hint="eastAsia"/>
          <w:sz w:val="30"/>
        </w:rPr>
        <w:t>部门整体自评表</w:t>
      </w:r>
    </w:p>
    <w:tbl>
      <w:tblPr>
        <w:tblpPr w:leftFromText="180" w:rightFromText="180" w:vertAnchor="text" w:horzAnchor="page" w:tblpX="1656" w:tblpY="127"/>
        <w:tblOverlap w:val="never"/>
        <w:tblW w:w="14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7"/>
        <w:gridCol w:w="2051"/>
        <w:gridCol w:w="2061"/>
        <w:gridCol w:w="1987"/>
        <w:gridCol w:w="1799"/>
        <w:gridCol w:w="1866"/>
        <w:gridCol w:w="1787"/>
        <w:gridCol w:w="1071"/>
      </w:tblGrid>
      <w:tr w:rsidR="00A33FC3">
        <w:trPr>
          <w:trHeight w:val="339"/>
        </w:trPr>
        <w:tc>
          <w:tcPr>
            <w:tcW w:w="2067" w:type="dxa"/>
            <w:shd w:val="clear" w:color="000000" w:fill="BFBFBF"/>
            <w:vAlign w:val="center"/>
          </w:tcPr>
          <w:p w:rsidR="00A33FC3" w:rsidRDefault="00A33FC3">
            <w:pPr>
              <w:widowControl/>
              <w:jc w:val="center"/>
              <w:rPr>
                <w:rFonts w:ascii="宋体" w:hAnsi="宋体" w:cs="宋体"/>
                <w:b/>
                <w:bCs/>
                <w:kern w:val="0"/>
                <w:sz w:val="24"/>
              </w:rPr>
            </w:pPr>
          </w:p>
        </w:tc>
        <w:tc>
          <w:tcPr>
            <w:tcW w:w="2051" w:type="dxa"/>
            <w:shd w:val="clear" w:color="000000" w:fill="BFBFBF"/>
            <w:vAlign w:val="center"/>
          </w:tcPr>
          <w:p w:rsidR="00A33FC3" w:rsidRDefault="00F9155C">
            <w:pPr>
              <w:widowControl/>
              <w:jc w:val="center"/>
              <w:rPr>
                <w:rFonts w:ascii="宋体" w:hAnsi="宋体" w:cs="宋体"/>
                <w:b/>
                <w:bCs/>
                <w:kern w:val="0"/>
                <w:sz w:val="24"/>
              </w:rPr>
            </w:pPr>
            <w:r>
              <w:rPr>
                <w:rFonts w:ascii="宋体" w:hAnsi="宋体" w:cs="宋体" w:hint="eastAsia"/>
                <w:b/>
                <w:bCs/>
                <w:sz w:val="24"/>
              </w:rPr>
              <w:t>类别</w:t>
            </w:r>
          </w:p>
        </w:tc>
        <w:tc>
          <w:tcPr>
            <w:tcW w:w="2061" w:type="dxa"/>
            <w:shd w:val="clear" w:color="000000" w:fill="BFBFBF"/>
            <w:vAlign w:val="center"/>
          </w:tcPr>
          <w:p w:rsidR="00A33FC3" w:rsidRDefault="00F9155C">
            <w:pPr>
              <w:widowControl/>
              <w:jc w:val="center"/>
              <w:rPr>
                <w:rFonts w:ascii="宋体" w:hAnsi="宋体" w:cs="宋体"/>
                <w:b/>
                <w:bCs/>
                <w:kern w:val="0"/>
                <w:sz w:val="24"/>
              </w:rPr>
            </w:pPr>
            <w:r>
              <w:rPr>
                <w:rFonts w:ascii="宋体" w:hAnsi="宋体" w:cs="宋体" w:hint="eastAsia"/>
                <w:b/>
                <w:bCs/>
                <w:sz w:val="24"/>
              </w:rPr>
              <w:t>指标名称</w:t>
            </w:r>
          </w:p>
        </w:tc>
        <w:tc>
          <w:tcPr>
            <w:tcW w:w="1987" w:type="dxa"/>
            <w:shd w:val="clear" w:color="000000" w:fill="BFBFBF"/>
            <w:vAlign w:val="center"/>
          </w:tcPr>
          <w:p w:rsidR="00A33FC3" w:rsidRDefault="00F9155C">
            <w:pPr>
              <w:widowControl/>
              <w:jc w:val="center"/>
              <w:rPr>
                <w:rFonts w:ascii="宋体" w:hAnsi="宋体" w:cs="宋体"/>
                <w:b/>
                <w:bCs/>
                <w:kern w:val="0"/>
                <w:sz w:val="24"/>
              </w:rPr>
            </w:pPr>
            <w:r>
              <w:rPr>
                <w:rFonts w:ascii="宋体" w:hAnsi="宋体" w:cs="宋体" w:hint="eastAsia"/>
                <w:b/>
                <w:bCs/>
                <w:sz w:val="24"/>
              </w:rPr>
              <w:t>指标目标值</w:t>
            </w:r>
          </w:p>
        </w:tc>
        <w:tc>
          <w:tcPr>
            <w:tcW w:w="1799" w:type="dxa"/>
            <w:shd w:val="clear" w:color="000000" w:fill="BFBFBF"/>
            <w:vAlign w:val="center"/>
          </w:tcPr>
          <w:p w:rsidR="00A33FC3" w:rsidRDefault="00F9155C">
            <w:pPr>
              <w:widowControl/>
              <w:jc w:val="center"/>
              <w:rPr>
                <w:rFonts w:ascii="宋体" w:hAnsi="宋体" w:cs="宋体"/>
                <w:b/>
                <w:bCs/>
                <w:kern w:val="0"/>
                <w:sz w:val="24"/>
              </w:rPr>
            </w:pPr>
            <w:r>
              <w:rPr>
                <w:rFonts w:ascii="宋体" w:hAnsi="宋体" w:cs="宋体" w:hint="eastAsia"/>
                <w:b/>
                <w:bCs/>
                <w:sz w:val="24"/>
              </w:rPr>
              <w:t>指标完成值</w:t>
            </w:r>
          </w:p>
        </w:tc>
        <w:tc>
          <w:tcPr>
            <w:tcW w:w="1866" w:type="dxa"/>
            <w:shd w:val="clear" w:color="000000" w:fill="BFBFBF"/>
            <w:vAlign w:val="center"/>
          </w:tcPr>
          <w:p w:rsidR="00A33FC3" w:rsidRDefault="00F9155C">
            <w:pPr>
              <w:widowControl/>
              <w:jc w:val="center"/>
              <w:rPr>
                <w:rFonts w:ascii="宋体" w:hAnsi="宋体" w:cs="宋体"/>
                <w:b/>
                <w:bCs/>
                <w:kern w:val="0"/>
                <w:sz w:val="24"/>
              </w:rPr>
            </w:pPr>
            <w:r>
              <w:rPr>
                <w:rFonts w:ascii="宋体" w:hAnsi="宋体" w:cs="宋体" w:hint="eastAsia"/>
                <w:b/>
                <w:bCs/>
                <w:sz w:val="24"/>
              </w:rPr>
              <w:t>完成值来源</w:t>
            </w:r>
          </w:p>
        </w:tc>
        <w:tc>
          <w:tcPr>
            <w:tcW w:w="1787" w:type="dxa"/>
            <w:shd w:val="clear" w:color="000000" w:fill="BFBFBF"/>
            <w:vAlign w:val="center"/>
          </w:tcPr>
          <w:p w:rsidR="00A33FC3" w:rsidRDefault="00F9155C">
            <w:pPr>
              <w:widowControl/>
              <w:jc w:val="center"/>
              <w:rPr>
                <w:rFonts w:ascii="宋体" w:hAnsi="宋体" w:cs="宋体"/>
                <w:b/>
                <w:bCs/>
                <w:sz w:val="24"/>
              </w:rPr>
            </w:pPr>
            <w:r>
              <w:rPr>
                <w:rFonts w:ascii="宋体" w:hAnsi="宋体" w:cs="宋体" w:hint="eastAsia"/>
                <w:b/>
                <w:bCs/>
                <w:sz w:val="24"/>
              </w:rPr>
              <w:t>偏差情况</w:t>
            </w:r>
          </w:p>
        </w:tc>
        <w:tc>
          <w:tcPr>
            <w:tcW w:w="1071" w:type="dxa"/>
            <w:shd w:val="clear" w:color="000000" w:fill="BFBFBF"/>
          </w:tcPr>
          <w:p w:rsidR="00A33FC3" w:rsidRDefault="00F9155C">
            <w:pPr>
              <w:widowControl/>
              <w:jc w:val="center"/>
              <w:rPr>
                <w:rFonts w:ascii="黑体" w:eastAsia="黑体" w:hAnsi="黑体"/>
                <w:sz w:val="30"/>
              </w:rPr>
            </w:pPr>
            <w:r>
              <w:rPr>
                <w:rFonts w:ascii="宋体" w:hAnsi="宋体" w:cs="宋体" w:hint="eastAsia"/>
                <w:b/>
                <w:bCs/>
                <w:sz w:val="24"/>
              </w:rPr>
              <w:t>原因分析</w:t>
            </w:r>
          </w:p>
        </w:tc>
      </w:tr>
      <w:tr w:rsidR="00A33FC3">
        <w:trPr>
          <w:trHeight w:val="540"/>
        </w:trPr>
        <w:tc>
          <w:tcPr>
            <w:tcW w:w="2067" w:type="dxa"/>
            <w:vMerge w:val="restart"/>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分解目标</w:t>
            </w:r>
          </w:p>
        </w:tc>
        <w:tc>
          <w:tcPr>
            <w:tcW w:w="2051" w:type="dxa"/>
            <w:vMerge w:val="restart"/>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决策</w:t>
            </w: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工作计划制定健全性</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健全</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健全</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年度工作计划</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中长期规划制定</w:t>
            </w:r>
            <w:r>
              <w:rPr>
                <w:rFonts w:ascii="宋体" w:hAnsi="宋体" w:cs="宋体" w:hint="eastAsia"/>
                <w:sz w:val="24"/>
              </w:rPr>
              <w:lastRenderedPageBreak/>
              <w:t>健全性</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lastRenderedPageBreak/>
              <w:t>健全</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健全</w:t>
            </w:r>
          </w:p>
        </w:tc>
        <w:tc>
          <w:tcPr>
            <w:tcW w:w="1866" w:type="dxa"/>
            <w:vAlign w:val="center"/>
          </w:tcPr>
          <w:p w:rsidR="00A33FC3" w:rsidRDefault="00F9155C" w:rsidP="00920BD9">
            <w:pPr>
              <w:spacing w:line="360" w:lineRule="auto"/>
              <w:jc w:val="center"/>
              <w:rPr>
                <w:rFonts w:ascii="宋体" w:hAnsi="宋体" w:cs="宋体"/>
                <w:kern w:val="0"/>
                <w:sz w:val="24"/>
              </w:rPr>
            </w:pPr>
            <w:r>
              <w:rPr>
                <w:rFonts w:ascii="宋体" w:hAnsi="宋体" w:cs="宋体" w:hint="eastAsia"/>
                <w:sz w:val="24"/>
              </w:rPr>
              <w:t>三定方案及局</w:t>
            </w:r>
            <w:r w:rsidR="00920BD9">
              <w:rPr>
                <w:rFonts w:ascii="宋体" w:hAnsi="宋体" w:cs="宋体" w:hint="eastAsia"/>
                <w:sz w:val="24"/>
              </w:rPr>
              <w:lastRenderedPageBreak/>
              <w:t>“</w:t>
            </w:r>
            <w:r w:rsidR="00920BD9">
              <w:rPr>
                <w:rFonts w:ascii="宋体" w:hAnsi="宋体" w:cs="宋体" w:hint="eastAsia"/>
                <w:sz w:val="24"/>
              </w:rPr>
              <w:t>十四五</w:t>
            </w:r>
            <w:bookmarkStart w:id="0" w:name="_GoBack"/>
            <w:bookmarkEnd w:id="0"/>
            <w:r w:rsidR="00920BD9">
              <w:rPr>
                <w:rFonts w:ascii="宋体" w:hAnsi="宋体" w:cs="宋体" w:hint="eastAsia"/>
                <w:sz w:val="24"/>
              </w:rPr>
              <w:t>”</w:t>
            </w:r>
            <w:r>
              <w:rPr>
                <w:rFonts w:ascii="宋体" w:hAnsi="宋体" w:cs="宋体" w:hint="eastAsia"/>
                <w:sz w:val="24"/>
              </w:rPr>
              <w:t>规划</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lastRenderedPageBreak/>
              <w:t>0</w:t>
            </w:r>
            <w:r>
              <w:rPr>
                <w:rFonts w:ascii="宋体" w:hAnsi="宋体" w:cs="宋体" w:hint="eastAsia"/>
                <w:sz w:val="24"/>
              </w:rPr>
              <w:t>%</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绩效指标明确性</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明确</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明确</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整体、项目绩效申报表</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绩效目标合理性</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合理</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合理</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整体、项目绩效申报表</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预算编制规范性</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规范</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规范</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预算公开平台</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预算编制科学性</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科学</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科学</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预算公开平台</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restart"/>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过程</w:t>
            </w: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绩效管理覆盖率</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经费预算管理制度</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资金使用合规性</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合规</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合规</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经费审批制度</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预决算信息公开度</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公开</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公开</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预决算公开平台</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基础信息完善性</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完善</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完善</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一体化系统基本信息表</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预算管理制度健全性</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健全</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健全</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经费预算管理制度</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非税收入管理合规性</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合规</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合规</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财务内控制度</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资产管理制度健全性</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健全</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健全</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固定资产管理制度</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固定资产利用率</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苏州市技工教研室固定资产云平台</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资产管理规范性</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规范</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规范</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固定资产管理制度</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项目管理制度健全性</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健全</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健全</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经费预算管理制度</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项目管理制度执行规范性</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规范</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规范</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经费预算管理制度</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人员管理制度健全性</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健全</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健全</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苏州市技工教育教研室人员平时考核实施细则（试行）</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人员管理制度执行有效性</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有效</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有效</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苏州市技工教育教研室人员平时考核实施</w:t>
            </w:r>
            <w:r>
              <w:rPr>
                <w:rFonts w:ascii="宋体" w:hAnsi="宋体" w:cs="宋体" w:hint="eastAsia"/>
                <w:sz w:val="24"/>
              </w:rPr>
              <w:lastRenderedPageBreak/>
              <w:t>细则（试行）</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lastRenderedPageBreak/>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在职人员控制率</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苏州市技工教育教研室人员平时考核实施细则（试行）</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组织建设工作及时完成率</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会议记录</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纪检监察工作有效性</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有效</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有效</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总结</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业务学习与培训及时完成率</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培训通知等</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政府采购执行率</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无政府采购</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“三公经费”变动率</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&lt;=0%</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决算报表</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预算执行率</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93.4%</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决算报表</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-6.60%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非税收入预算完成率</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&gt;=100%</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2023</w:t>
            </w:r>
            <w:r>
              <w:rPr>
                <w:rFonts w:ascii="宋体" w:hAnsi="宋体" w:cs="宋体" w:hint="eastAsia"/>
                <w:sz w:val="24"/>
              </w:rPr>
              <w:t>年度非税收入表</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支付进度符合率</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一体化平台</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预算偏差率</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决算报表</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结转结余率</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决算报表</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公用经费控制率</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&lt;=100%</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81.5%</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预决算公开报表</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-18.50%</w:t>
            </w:r>
          </w:p>
        </w:tc>
        <w:tc>
          <w:tcPr>
            <w:tcW w:w="1071" w:type="dxa"/>
          </w:tcPr>
          <w:p w:rsidR="00A33FC3" w:rsidRDefault="00F9155C">
            <w:pPr>
              <w:spacing w:line="360" w:lineRule="auto"/>
              <w:rPr>
                <w:rFonts w:ascii="宋体" w:hAnsi="宋体" w:cs="宋体"/>
                <w:kern w:val="0"/>
                <w:sz w:val="22"/>
              </w:rPr>
            </w:pPr>
            <w:r>
              <w:rPr>
                <w:rFonts w:ascii="宋体" w:hAnsi="宋体" w:cs="宋体" w:hint="eastAsia"/>
                <w:sz w:val="24"/>
              </w:rPr>
              <w:t>主要厉行节约。</w:t>
            </w: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预算调整率</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28.28%</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财政预算计划下达表</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100%</w:t>
            </w:r>
          </w:p>
        </w:tc>
        <w:tc>
          <w:tcPr>
            <w:tcW w:w="1071" w:type="dxa"/>
          </w:tcPr>
          <w:p w:rsidR="00A33FC3" w:rsidRDefault="00F9155C">
            <w:pPr>
              <w:spacing w:line="360" w:lineRule="auto"/>
              <w:rPr>
                <w:rFonts w:ascii="宋体" w:hAnsi="宋体" w:cs="宋体"/>
                <w:kern w:val="0"/>
                <w:sz w:val="22"/>
              </w:rPr>
            </w:pPr>
            <w:r>
              <w:rPr>
                <w:rFonts w:ascii="宋体" w:hAnsi="宋体" w:cs="宋体" w:hint="eastAsia"/>
                <w:sz w:val="24"/>
              </w:rPr>
              <w:t>主要为追加的人员经费。</w:t>
            </w: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restart"/>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效益</w:t>
            </w: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提升技工院校教师理论或技能水平</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明显</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明显</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省、市相关部门文件等</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为技工教育教学提供专业指导或提升技工院校品牌效应</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明显</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明显</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省技工院校重点项目结果公布文件等</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提升教师教学专业水平</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明显</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明显</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省、市技工院校教师职业能力大赛表彰文件</w:t>
            </w:r>
            <w:r>
              <w:rPr>
                <w:rFonts w:ascii="宋体" w:hAnsi="宋体" w:cs="宋体" w:hint="eastAsia"/>
                <w:sz w:val="24"/>
              </w:rPr>
              <w:lastRenderedPageBreak/>
              <w:t>等</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lastRenderedPageBreak/>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增强学生体质或提高学生专业能力</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明显</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明显</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学生表彰文件</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满意度</w:t>
            </w: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教师进企业研修满意度</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=98%</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98%</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调查表</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restart"/>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履职</w:t>
            </w: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教师进企业研修合格率</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=98%</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98%</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考核表</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学生活动完成及时性</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及时</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及时</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学生活动通知</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评审项目完成及时性</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及时</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及时</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评审通知</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管理中心教研组个数</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=12</w:t>
            </w:r>
            <w:r>
              <w:rPr>
                <w:rFonts w:ascii="宋体" w:hAnsi="宋体" w:cs="宋体" w:hint="eastAsia"/>
                <w:sz w:val="24"/>
              </w:rPr>
              <w:t>个</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12</w:t>
            </w:r>
            <w:r>
              <w:rPr>
                <w:rFonts w:ascii="宋体" w:hAnsi="宋体" w:cs="宋体" w:hint="eastAsia"/>
                <w:sz w:val="24"/>
              </w:rPr>
              <w:t>个</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中心组文件</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举办全市技工院校教师进企业研修次数</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w:t>
            </w:r>
            <w:r>
              <w:rPr>
                <w:rFonts w:ascii="宋体" w:hAnsi="宋体" w:cs="宋体" w:hint="eastAsia"/>
                <w:sz w:val="24"/>
              </w:rPr>
              <w:t>次</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w:t>
            </w:r>
            <w:r>
              <w:rPr>
                <w:rFonts w:ascii="宋体" w:hAnsi="宋体" w:cs="宋体" w:hint="eastAsia"/>
                <w:sz w:val="24"/>
              </w:rPr>
              <w:t>次</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研修通知</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体育比赛获奖学</w:t>
            </w:r>
            <w:r>
              <w:rPr>
                <w:rFonts w:ascii="宋体" w:hAnsi="宋体" w:cs="宋体" w:hint="eastAsia"/>
                <w:sz w:val="24"/>
              </w:rPr>
              <w:lastRenderedPageBreak/>
              <w:t>生比例</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lastRenderedPageBreak/>
              <w:t>=60%</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60%</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比赛结果</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教师进企业研修及时性</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及时</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及时</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研修通知</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开展科研项目类别</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=2</w:t>
            </w:r>
            <w:r>
              <w:rPr>
                <w:rFonts w:ascii="宋体" w:hAnsi="宋体" w:cs="宋体" w:hint="eastAsia"/>
                <w:sz w:val="24"/>
              </w:rPr>
              <w:t>类</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2</w:t>
            </w:r>
            <w:r>
              <w:rPr>
                <w:rFonts w:ascii="宋体" w:hAnsi="宋体" w:cs="宋体" w:hint="eastAsia"/>
                <w:sz w:val="24"/>
              </w:rPr>
              <w:t>类</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活动通知、研修通知等</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开展学生能力提升活动次数</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=2</w:t>
            </w:r>
            <w:r>
              <w:rPr>
                <w:rFonts w:ascii="宋体" w:hAnsi="宋体" w:cs="宋体" w:hint="eastAsia"/>
                <w:sz w:val="24"/>
              </w:rPr>
              <w:t>次</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2</w:t>
            </w:r>
            <w:r>
              <w:rPr>
                <w:rFonts w:ascii="宋体" w:hAnsi="宋体" w:cs="宋体" w:hint="eastAsia"/>
                <w:sz w:val="24"/>
              </w:rPr>
              <w:t>次</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活动通知</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开设市级公开课涉及技工院校数</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=11</w:t>
            </w:r>
            <w:r>
              <w:rPr>
                <w:rFonts w:ascii="宋体" w:hAnsi="宋体" w:cs="宋体" w:hint="eastAsia"/>
                <w:sz w:val="24"/>
              </w:rPr>
              <w:t>个</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11</w:t>
            </w:r>
            <w:r>
              <w:rPr>
                <w:rFonts w:ascii="宋体" w:hAnsi="宋体" w:cs="宋体" w:hint="eastAsia"/>
                <w:sz w:val="24"/>
              </w:rPr>
              <w:t>个</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公开课通知</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专家出席评审会及时率</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签字表</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评审项目数量</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=4</w:t>
            </w:r>
            <w:r>
              <w:rPr>
                <w:rFonts w:ascii="宋体" w:hAnsi="宋体" w:cs="宋体" w:hint="eastAsia"/>
                <w:sz w:val="24"/>
              </w:rPr>
              <w:t>个</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4</w:t>
            </w:r>
            <w:r>
              <w:rPr>
                <w:rFonts w:ascii="宋体" w:hAnsi="宋体" w:cs="宋体" w:hint="eastAsia"/>
                <w:sz w:val="24"/>
              </w:rPr>
              <w:t>个</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评审文件</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专项聘请专家流程规范性</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规范</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规范</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专家表</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开展学生活动类别</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=2</w:t>
            </w:r>
            <w:r>
              <w:rPr>
                <w:rFonts w:ascii="宋体" w:hAnsi="宋体" w:cs="宋体" w:hint="eastAsia"/>
                <w:sz w:val="24"/>
              </w:rPr>
              <w:t>类</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2</w:t>
            </w:r>
            <w:r>
              <w:rPr>
                <w:rFonts w:ascii="宋体" w:hAnsi="宋体" w:cs="宋体" w:hint="eastAsia"/>
                <w:sz w:val="24"/>
              </w:rPr>
              <w:t>类</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活动通知</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体育比赛人员安全保障率</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无安全事故</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A33FC3" w:rsidRDefault="00A33FC3">
            <w:pPr>
              <w:spacing w:line="360" w:lineRule="auto"/>
              <w:rPr>
                <w:rFonts w:ascii="宋体" w:hAnsi="宋体" w:cs="宋体"/>
                <w:kern w:val="0"/>
                <w:sz w:val="22"/>
              </w:rPr>
            </w:pPr>
          </w:p>
        </w:tc>
      </w:tr>
      <w:tr w:rsidR="00A33FC3">
        <w:trPr>
          <w:trHeight w:val="540"/>
        </w:trPr>
        <w:tc>
          <w:tcPr>
            <w:tcW w:w="2067" w:type="dxa"/>
            <w:vMerge/>
            <w:vAlign w:val="center"/>
          </w:tcPr>
          <w:p w:rsidR="00A33FC3" w:rsidRDefault="00A33FC3">
            <w:pPr>
              <w:spacing w:line="360" w:lineRule="auto"/>
              <w:jc w:val="center"/>
              <w:rPr>
                <w:rFonts w:ascii="宋体" w:hAnsi="宋体" w:cs="宋体"/>
                <w:kern w:val="0"/>
                <w:sz w:val="24"/>
              </w:rPr>
            </w:pPr>
          </w:p>
        </w:tc>
        <w:tc>
          <w:tcPr>
            <w:tcW w:w="2051" w:type="dxa"/>
            <w:vMerge/>
            <w:vAlign w:val="center"/>
          </w:tcPr>
          <w:p w:rsidR="00A33FC3" w:rsidRDefault="00A33FC3">
            <w:pPr>
              <w:spacing w:line="360" w:lineRule="auto"/>
              <w:jc w:val="center"/>
              <w:rPr>
                <w:rFonts w:ascii="宋体" w:hAnsi="宋体" w:cs="宋体"/>
                <w:kern w:val="0"/>
                <w:sz w:val="24"/>
              </w:rPr>
            </w:pPr>
          </w:p>
        </w:tc>
        <w:tc>
          <w:tcPr>
            <w:tcW w:w="2061"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专家资质达标率</w:t>
            </w:r>
          </w:p>
        </w:tc>
        <w:tc>
          <w:tcPr>
            <w:tcW w:w="19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=100%</w:t>
            </w:r>
          </w:p>
        </w:tc>
        <w:tc>
          <w:tcPr>
            <w:tcW w:w="1799"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100%</w:t>
            </w:r>
          </w:p>
        </w:tc>
        <w:tc>
          <w:tcPr>
            <w:tcW w:w="1866"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专家表</w:t>
            </w:r>
          </w:p>
        </w:tc>
        <w:tc>
          <w:tcPr>
            <w:tcW w:w="1787" w:type="dxa"/>
            <w:vAlign w:val="center"/>
          </w:tcPr>
          <w:p w:rsidR="00A33FC3" w:rsidRDefault="00F9155C">
            <w:pPr>
              <w:spacing w:line="360" w:lineRule="auto"/>
              <w:jc w:val="center"/>
              <w:rPr>
                <w:rFonts w:ascii="宋体" w:hAnsi="宋体" w:cs="宋体"/>
                <w:kern w:val="0"/>
                <w:sz w:val="24"/>
              </w:rPr>
            </w:pPr>
            <w:r>
              <w:rPr>
                <w:rFonts w:ascii="宋体" w:hAnsi="宋体" w:cs="宋体" w:hint="eastAsia"/>
                <w:sz w:val="24"/>
              </w:rPr>
              <w:t>0.00%</w:t>
            </w:r>
          </w:p>
        </w:tc>
        <w:tc>
          <w:tcPr>
            <w:tcW w:w="1071" w:type="dxa"/>
          </w:tcPr>
          <w:p w:rsidR="00A33FC3" w:rsidRDefault="00A33FC3">
            <w:pPr>
              <w:spacing w:line="360" w:lineRule="auto"/>
              <w:rPr>
                <w:rFonts w:ascii="宋体" w:hAnsi="宋体" w:cs="宋体"/>
                <w:kern w:val="0"/>
                <w:sz w:val="22"/>
              </w:rPr>
            </w:pPr>
          </w:p>
        </w:tc>
      </w:tr>
    </w:tbl>
    <w:p w:rsidR="00A33FC3" w:rsidRDefault="00A33FC3">
      <w:pPr>
        <w:spacing w:line="360" w:lineRule="auto"/>
        <w:ind w:left="600"/>
        <w:rPr>
          <w:rFonts w:ascii="黑体" w:eastAsia="黑体" w:hAnsi="黑体"/>
          <w:sz w:val="30"/>
        </w:rPr>
      </w:pPr>
    </w:p>
    <w:sectPr w:rsidR="00A33FC3">
      <w:headerReference w:type="default" r:id="rId11"/>
      <w:footerReference w:type="default" r:id="rId12"/>
      <w:pgSz w:w="16840" w:h="11907" w:orient="landscape"/>
      <w:pgMar w:top="1559" w:right="1247" w:bottom="1400" w:left="1089" w:header="851" w:footer="992" w:gutter="0"/>
      <w:paperSrc w:first="15" w:other="15"/>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155C" w:rsidRDefault="00F9155C">
      <w:r>
        <w:separator/>
      </w:r>
    </w:p>
  </w:endnote>
  <w:endnote w:type="continuationSeparator" w:id="0">
    <w:p w:rsidR="00F9155C" w:rsidRDefault="00F91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新宋体">
    <w:altName w:val="宋体"/>
    <w:panose1 w:val="02010609030101010101"/>
    <w:charset w:val="86"/>
    <w:family w:val="modern"/>
    <w:pitch w:val="default"/>
    <w:sig w:usb0="00000000" w:usb1="0000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FC3" w:rsidRDefault="00F9155C">
    <w:pPr>
      <w:pStyle w:val="a4"/>
      <w:framePr w:wrap="around" w:vAnchor="text" w:hAnchor="margin" w:xAlign="center" w:y="1"/>
      <w:rPr>
        <w:rStyle w:val="a7"/>
      </w:rPr>
    </w:pPr>
    <w:r>
      <w:fldChar w:fldCharType="begin"/>
    </w:r>
    <w:r>
      <w:rPr>
        <w:rStyle w:val="a7"/>
      </w:rPr>
      <w:instrText xml:space="preserve">PAGE  </w:instrText>
    </w:r>
    <w:r>
      <w:fldChar w:fldCharType="end"/>
    </w:r>
  </w:p>
  <w:p w:rsidR="00A33FC3" w:rsidRDefault="00A33FC3">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FC3" w:rsidRDefault="00F9155C">
    <w:pPr>
      <w:pStyle w:val="a4"/>
      <w:framePr w:wrap="around" w:vAnchor="text" w:hAnchor="margin" w:xAlign="center" w:y="1"/>
      <w:rPr>
        <w:rStyle w:val="a7"/>
      </w:rPr>
    </w:pPr>
    <w:r>
      <w:fldChar w:fldCharType="begin"/>
    </w:r>
    <w:r>
      <w:rPr>
        <w:rStyle w:val="a7"/>
      </w:rPr>
      <w:instrText xml:space="preserve">PAGE  </w:instrText>
    </w:r>
    <w:r>
      <w:fldChar w:fldCharType="separate"/>
    </w:r>
    <w:r w:rsidR="00920BD9">
      <w:rPr>
        <w:rStyle w:val="a7"/>
        <w:noProof/>
      </w:rPr>
      <w:t>4</w:t>
    </w:r>
    <w:r>
      <w:fldChar w:fldCharType="end"/>
    </w:r>
  </w:p>
  <w:p w:rsidR="00A33FC3" w:rsidRDefault="00A33FC3">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FC3" w:rsidRDefault="00F9155C">
    <w:pPr>
      <w:pStyle w:val="a4"/>
      <w:framePr w:wrap="around" w:vAnchor="text" w:hAnchor="margin" w:xAlign="center" w:y="1"/>
      <w:rPr>
        <w:rStyle w:val="a7"/>
      </w:rPr>
    </w:pPr>
    <w:r>
      <w:fldChar w:fldCharType="begin"/>
    </w:r>
    <w:r>
      <w:rPr>
        <w:rStyle w:val="a7"/>
      </w:rPr>
      <w:instrText xml:space="preserve">PAGE  </w:instrText>
    </w:r>
    <w:r>
      <w:fldChar w:fldCharType="separate"/>
    </w:r>
    <w:r w:rsidR="00920BD9">
      <w:rPr>
        <w:rStyle w:val="a7"/>
        <w:noProof/>
      </w:rPr>
      <w:t>6</w:t>
    </w:r>
    <w:r>
      <w:fldChar w:fldCharType="end"/>
    </w:r>
  </w:p>
  <w:p w:rsidR="00A33FC3" w:rsidRDefault="00A33FC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155C" w:rsidRDefault="00F9155C">
      <w:r>
        <w:separator/>
      </w:r>
    </w:p>
  </w:footnote>
  <w:footnote w:type="continuationSeparator" w:id="0">
    <w:p w:rsidR="00F9155C" w:rsidRDefault="00F915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FC3" w:rsidRDefault="00A33FC3">
    <w:pPr>
      <w:pStyle w:val="a5"/>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FC3" w:rsidRDefault="00A33FC3">
    <w:pPr>
      <w:pStyle w:val="a5"/>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FC3" w:rsidRDefault="00A33FC3">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7BB9F1"/>
    <w:multiLevelType w:val="singleLevel"/>
    <w:tmpl w:val="5D7BB9F1"/>
    <w:lvl w:ilvl="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1004"/>
    <w:rsid w:val="00037A63"/>
    <w:rsid w:val="00040CA6"/>
    <w:rsid w:val="00043B48"/>
    <w:rsid w:val="00052BE5"/>
    <w:rsid w:val="00057203"/>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84BBE"/>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5644C"/>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2649"/>
    <w:rsid w:val="009141CE"/>
    <w:rsid w:val="00914978"/>
    <w:rsid w:val="0092032F"/>
    <w:rsid w:val="00920BD9"/>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52AE"/>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C3"/>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48CE"/>
    <w:rsid w:val="00BB4CED"/>
    <w:rsid w:val="00BB57BA"/>
    <w:rsid w:val="00BB67B3"/>
    <w:rsid w:val="00BC3CDC"/>
    <w:rsid w:val="00BC4382"/>
    <w:rsid w:val="00BC5D5E"/>
    <w:rsid w:val="00BC6D9B"/>
    <w:rsid w:val="00BC7D69"/>
    <w:rsid w:val="00BC7FC3"/>
    <w:rsid w:val="00BD2BBF"/>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155C"/>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7BD0E51"/>
    <w:rsid w:val="08DB7764"/>
    <w:rsid w:val="0C9A6ED5"/>
    <w:rsid w:val="100603AC"/>
    <w:rsid w:val="10F1631B"/>
    <w:rsid w:val="12A93FD5"/>
    <w:rsid w:val="130C2FEE"/>
    <w:rsid w:val="13CE1647"/>
    <w:rsid w:val="17B84A32"/>
    <w:rsid w:val="19B01875"/>
    <w:rsid w:val="1A1C1CFA"/>
    <w:rsid w:val="1AD4001C"/>
    <w:rsid w:val="1C3E1334"/>
    <w:rsid w:val="1CFD4AD4"/>
    <w:rsid w:val="1D070020"/>
    <w:rsid w:val="1EB274DF"/>
    <w:rsid w:val="20106F8E"/>
    <w:rsid w:val="22B36787"/>
    <w:rsid w:val="231125AC"/>
    <w:rsid w:val="24077BFF"/>
    <w:rsid w:val="26A5092E"/>
    <w:rsid w:val="28260401"/>
    <w:rsid w:val="2B110340"/>
    <w:rsid w:val="2CF51D47"/>
    <w:rsid w:val="2F640DE8"/>
    <w:rsid w:val="31190CC6"/>
    <w:rsid w:val="33FD7752"/>
    <w:rsid w:val="37922635"/>
    <w:rsid w:val="379540A7"/>
    <w:rsid w:val="3989156E"/>
    <w:rsid w:val="39FB4E37"/>
    <w:rsid w:val="3A15477F"/>
    <w:rsid w:val="3A242466"/>
    <w:rsid w:val="3C47334E"/>
    <w:rsid w:val="3CB26D1E"/>
    <w:rsid w:val="3EF07F7A"/>
    <w:rsid w:val="43ED3C40"/>
    <w:rsid w:val="495323ED"/>
    <w:rsid w:val="4AF3601A"/>
    <w:rsid w:val="4BA315C9"/>
    <w:rsid w:val="4CC6446A"/>
    <w:rsid w:val="544D740E"/>
    <w:rsid w:val="55AE0FCF"/>
    <w:rsid w:val="58FE18D5"/>
    <w:rsid w:val="594914BB"/>
    <w:rsid w:val="5CA82CD1"/>
    <w:rsid w:val="5FCE09A6"/>
    <w:rsid w:val="60ED5F11"/>
    <w:rsid w:val="64122457"/>
    <w:rsid w:val="646426D5"/>
    <w:rsid w:val="64BC4F31"/>
    <w:rsid w:val="64C3416F"/>
    <w:rsid w:val="6624577F"/>
    <w:rsid w:val="67161F83"/>
    <w:rsid w:val="68817BAC"/>
    <w:rsid w:val="68DB6F84"/>
    <w:rsid w:val="6A1706CF"/>
    <w:rsid w:val="6A563FBC"/>
    <w:rsid w:val="6A7E3167"/>
    <w:rsid w:val="6D873407"/>
    <w:rsid w:val="6DA24319"/>
    <w:rsid w:val="6EA81B75"/>
    <w:rsid w:val="6FE35A27"/>
    <w:rsid w:val="72167982"/>
    <w:rsid w:val="739B783A"/>
    <w:rsid w:val="75536D10"/>
    <w:rsid w:val="75B30C82"/>
    <w:rsid w:val="770E7892"/>
    <w:rsid w:val="77980A6E"/>
    <w:rsid w:val="77F71564"/>
    <w:rsid w:val="792A54A4"/>
    <w:rsid w:val="79F15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1D27AB8-A493-4425-B044-6ED118FED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qFormat/>
    <w:rPr>
      <w:sz w:val="18"/>
      <w:szCs w:val="18"/>
    </w:rPr>
  </w:style>
  <w:style w:type="paragraph" w:styleId="a4">
    <w:name w:val="footer"/>
    <w:basedOn w:val="a"/>
    <w:link w:val="Char"/>
    <w:qFormat/>
    <w:pPr>
      <w:tabs>
        <w:tab w:val="center" w:pos="4153"/>
        <w:tab w:val="right" w:pos="8306"/>
      </w:tabs>
      <w:snapToGrid w:val="0"/>
      <w:jc w:val="left"/>
    </w:pPr>
    <w:rPr>
      <w:sz w:val="18"/>
      <w:szCs w:val="18"/>
    </w:rPr>
  </w:style>
  <w:style w:type="paragraph" w:styleId="a5">
    <w:name w:val="header"/>
    <w:basedOn w:val="a"/>
    <w:link w:val="Char0"/>
    <w:qFormat/>
    <w:pPr>
      <w:pBdr>
        <w:bottom w:val="single" w:sz="6" w:space="1" w:color="auto"/>
      </w:pBdr>
      <w:tabs>
        <w:tab w:val="center" w:pos="4153"/>
        <w:tab w:val="right" w:pos="8306"/>
      </w:tabs>
      <w:snapToGrid w:val="0"/>
      <w:jc w:val="center"/>
    </w:pPr>
    <w:rPr>
      <w:sz w:val="18"/>
      <w:szCs w:val="18"/>
    </w:rPr>
  </w:style>
  <w:style w:type="table" w:styleId="a6">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qFormat/>
  </w:style>
  <w:style w:type="character" w:styleId="a8">
    <w:name w:val="Hyperlink"/>
    <w:qFormat/>
    <w:rPr>
      <w:color w:val="0000FF"/>
      <w:u w:val="single"/>
    </w:rPr>
  </w:style>
  <w:style w:type="character" w:customStyle="1" w:styleId="1">
    <w:name w:val="已访问的超链接1"/>
    <w:qFormat/>
    <w:rPr>
      <w:color w:val="800080"/>
      <w:u w:val="single"/>
    </w:rPr>
  </w:style>
  <w:style w:type="character" w:customStyle="1" w:styleId="Char0">
    <w:name w:val="页眉 Char"/>
    <w:link w:val="a5"/>
    <w:qFormat/>
    <w:rPr>
      <w:kern w:val="2"/>
      <w:sz w:val="18"/>
      <w:szCs w:val="18"/>
    </w:rPr>
  </w:style>
  <w:style w:type="character" w:customStyle="1" w:styleId="Char">
    <w:name w:val="页脚 Char"/>
    <w:link w:val="a4"/>
    <w:qFormat/>
    <w:rPr>
      <w:kern w:val="2"/>
      <w:sz w:val="18"/>
      <w:szCs w:val="18"/>
    </w:rPr>
  </w:style>
  <w:style w:type="paragraph" w:customStyle="1" w:styleId="21">
    <w:name w:val="目录 21"/>
    <w:basedOn w:val="a"/>
    <w:next w:val="a"/>
    <w:uiPriority w:val="39"/>
    <w:qFormat/>
    <w:pPr>
      <w:tabs>
        <w:tab w:val="right" w:leader="dot" w:pos="8494"/>
      </w:tabs>
      <w:spacing w:line="560" w:lineRule="exact"/>
      <w:ind w:left="210"/>
      <w:jc w:val="left"/>
    </w:pPr>
    <w:rPr>
      <w:rFonts w:ascii="仿宋_GB2312" w:eastAsia="仿宋_GB2312" w:hAnsi="Calibri" w:cs="Calibri"/>
      <w:smallCaps/>
      <w:sz w:val="28"/>
      <w:szCs w:val="28"/>
    </w:rPr>
  </w:style>
  <w:style w:type="paragraph" w:customStyle="1" w:styleId="11">
    <w:name w:val="目录 11"/>
    <w:basedOn w:val="a"/>
    <w:next w:val="a"/>
    <w:uiPriority w:val="39"/>
    <w:qFormat/>
    <w:pPr>
      <w:tabs>
        <w:tab w:val="left" w:pos="840"/>
        <w:tab w:val="right" w:leader="dot" w:pos="8296"/>
      </w:tabs>
      <w:spacing w:line="560" w:lineRule="exact"/>
      <w:jc w:val="left"/>
    </w:pPr>
    <w:rPr>
      <w:rFonts w:ascii="仿宋_GB2312" w:eastAsia="仿宋_GB2312" w:hAnsi="新宋体" w:cs="Calibri"/>
      <w:b/>
      <w:bCs/>
      <w:caps/>
      <w:sz w:val="28"/>
      <w:szCs w:val="28"/>
    </w:rPr>
  </w:style>
  <w:style w:type="paragraph" w:customStyle="1" w:styleId="CharCharCharCharCharCharChar">
    <w:name w:val="Char Char Char Char Char Char Char"/>
    <w:basedOn w:val="a"/>
    <w:qFormat/>
    <w:rPr>
      <w:szCs w:val="21"/>
    </w:rPr>
  </w:style>
  <w:style w:type="paragraph" w:customStyle="1" w:styleId="10">
    <w:name w:val="列出段落1"/>
    <w:basedOn w:val="a"/>
    <w:uiPriority w:val="34"/>
    <w:qFormat/>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13</Pages>
  <Words>927</Words>
  <Characters>5289</Characters>
  <Application>Microsoft Office Word</Application>
  <DocSecurity>0</DocSecurity>
  <Lines>44</Lines>
  <Paragraphs>12</Paragraphs>
  <ScaleCrop>false</ScaleCrop>
  <Company>czj</Company>
  <LinksUpToDate>false</LinksUpToDate>
  <CharactersWithSpaces>6204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关于进行本市部门整体支出</dc:title>
  <dc:creator>傅海英</dc:creator>
  <cp:lastModifiedBy>u</cp:lastModifiedBy>
  <cp:revision>12</cp:revision>
  <cp:lastPrinted>2019-06-21T10:10:00Z</cp:lastPrinted>
  <dcterms:created xsi:type="dcterms:W3CDTF">2020-12-31T14:58:00Z</dcterms:created>
  <dcterms:modified xsi:type="dcterms:W3CDTF">2026-10-27T09:20:00Z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739EEDB2ECE141DEAF0C3D87D58590AD_13</vt:lpwstr>
  </property>
</Properties>
</file>